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DD6921C" w:rsidR="00E66558" w:rsidRPr="00FF57D0" w:rsidRDefault="009D71E8" w:rsidP="00554328">
      <w:pPr>
        <w:pStyle w:val="Heading1"/>
        <w:jc w:val="center"/>
        <w:rPr>
          <w:rFonts w:asciiTheme="minorHAnsi" w:hAnsiTheme="minorHAnsi" w:cstheme="minorHAnsi"/>
          <w:sz w:val="20"/>
          <w:szCs w:val="20"/>
        </w:rPr>
      </w:pPr>
      <w:bookmarkStart w:id="0" w:name="_Toc400361362"/>
      <w:bookmarkStart w:id="1" w:name="_Toc443397153"/>
      <w:bookmarkStart w:id="2" w:name="_Toc357771638"/>
      <w:bookmarkStart w:id="3" w:name="_Toc346793416"/>
      <w:bookmarkStart w:id="4" w:name="_Toc328122777"/>
      <w:r w:rsidRPr="00FF57D0">
        <w:rPr>
          <w:rFonts w:asciiTheme="minorHAnsi" w:hAnsiTheme="minorHAnsi" w:cstheme="minorHAnsi"/>
          <w:sz w:val="20"/>
          <w:szCs w:val="2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60E1A" w:rsidRPr="00FF57D0">
        <w:rPr>
          <w:rFonts w:asciiTheme="minorHAnsi" w:hAnsiTheme="minorHAnsi" w:cstheme="minorHAnsi"/>
          <w:sz w:val="20"/>
          <w:szCs w:val="20"/>
        </w:rPr>
        <w:t xml:space="preserve"> 202</w:t>
      </w:r>
      <w:r w:rsidR="00B26552" w:rsidRPr="00FF57D0">
        <w:rPr>
          <w:rFonts w:asciiTheme="minorHAnsi" w:hAnsiTheme="minorHAnsi" w:cstheme="minorHAnsi"/>
          <w:sz w:val="20"/>
          <w:szCs w:val="20"/>
        </w:rPr>
        <w:t>3</w:t>
      </w:r>
      <w:r w:rsidR="00E60E1A" w:rsidRPr="00FF57D0">
        <w:rPr>
          <w:rFonts w:asciiTheme="minorHAnsi" w:hAnsiTheme="minorHAnsi" w:cstheme="minorHAnsi"/>
          <w:sz w:val="20"/>
          <w:szCs w:val="20"/>
        </w:rPr>
        <w:t>/202</w:t>
      </w:r>
      <w:r w:rsidR="00B26552" w:rsidRPr="00FF57D0">
        <w:rPr>
          <w:rFonts w:asciiTheme="minorHAnsi" w:hAnsiTheme="minorHAnsi" w:cstheme="minorHAnsi"/>
          <w:sz w:val="20"/>
          <w:szCs w:val="20"/>
        </w:rPr>
        <w:t>4</w:t>
      </w:r>
    </w:p>
    <w:p w14:paraId="780083D6" w14:textId="77777777" w:rsidR="00B26552" w:rsidRPr="00FF57D0" w:rsidRDefault="00B26552" w:rsidP="00B26552">
      <w:pPr>
        <w:rPr>
          <w:rFonts w:asciiTheme="minorHAnsi" w:hAnsiTheme="minorHAnsi" w:cstheme="minorHAnsi"/>
          <w:b/>
          <w:sz w:val="20"/>
          <w:szCs w:val="20"/>
        </w:rPr>
      </w:pPr>
      <w:r w:rsidRPr="00FF57D0">
        <w:rPr>
          <w:rFonts w:asciiTheme="minorHAnsi" w:hAnsiTheme="minorHAnsi" w:cstheme="minorHAnsi"/>
          <w:sz w:val="20"/>
          <w:szCs w:val="20"/>
        </w:rPr>
        <w:t xml:space="preserve">This statement details our school’s use of pupil premium (and recovery premium) funding to help improve the attainment of our disadvantaged pupils. </w:t>
      </w:r>
    </w:p>
    <w:p w14:paraId="46CE8F18" w14:textId="77777777" w:rsidR="00B26552" w:rsidRPr="00FF57D0" w:rsidRDefault="00B26552" w:rsidP="00B26552">
      <w:pPr>
        <w:rPr>
          <w:rFonts w:asciiTheme="minorHAnsi" w:hAnsiTheme="minorHAnsi" w:cstheme="minorHAnsi"/>
          <w:b/>
          <w:sz w:val="20"/>
          <w:szCs w:val="20"/>
        </w:rPr>
      </w:pPr>
      <w:r w:rsidRPr="00FF57D0">
        <w:rPr>
          <w:rFonts w:asciiTheme="minorHAnsi" w:hAnsiTheme="minorHAnsi" w:cstheme="minorHAnsi"/>
          <w:sz w:val="20"/>
          <w:szCs w:val="20"/>
        </w:rPr>
        <w:t xml:space="preserve">It outlines our pupil premium strategy, how we intend to spend the funding in this academic year and outcomes for disadvantaged pupils last academic year. </w:t>
      </w:r>
    </w:p>
    <w:p w14:paraId="2A7D54B4" w14:textId="77777777" w:rsidR="00E66558" w:rsidRPr="00FF57D0" w:rsidRDefault="009D71E8">
      <w:pPr>
        <w:pStyle w:val="Heading2"/>
        <w:rPr>
          <w:rFonts w:asciiTheme="minorHAnsi" w:hAnsiTheme="minorHAnsi" w:cstheme="minorHAnsi"/>
          <w:sz w:val="20"/>
          <w:szCs w:val="20"/>
        </w:rPr>
      </w:pPr>
      <w:r w:rsidRPr="00FF57D0">
        <w:rPr>
          <w:rFonts w:asciiTheme="minorHAnsi" w:hAnsiTheme="minorHAnsi" w:cstheme="minorHAnsi"/>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FF57D0"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Data</w:t>
            </w:r>
          </w:p>
        </w:tc>
      </w:tr>
      <w:tr w:rsidR="00E60E1A" w:rsidRPr="00FF57D0"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E5CFBB9" w:rsidR="00E60E1A" w:rsidRPr="00FF57D0" w:rsidRDefault="00C30562" w:rsidP="00E60E1A">
            <w:pPr>
              <w:pStyle w:val="TableRow"/>
              <w:rPr>
                <w:rFonts w:asciiTheme="minorHAnsi" w:hAnsiTheme="minorHAnsi" w:cstheme="minorHAnsi"/>
                <w:b/>
                <w:bCs/>
                <w:sz w:val="20"/>
                <w:szCs w:val="20"/>
              </w:rPr>
            </w:pPr>
            <w:r w:rsidRPr="00FF57D0">
              <w:rPr>
                <w:rStyle w:val="PlaceholderText"/>
                <w:rFonts w:asciiTheme="minorHAnsi" w:hAnsiTheme="minorHAnsi" w:cstheme="minorHAnsi"/>
                <w:b/>
                <w:bCs/>
                <w:color w:val="auto"/>
                <w:sz w:val="20"/>
                <w:szCs w:val="20"/>
              </w:rPr>
              <w:t>Newbarns Primary and Nursery School</w:t>
            </w:r>
          </w:p>
        </w:tc>
      </w:tr>
      <w:tr w:rsidR="00E60E1A" w:rsidRPr="00FF57D0"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EF3EFC6" w:rsidR="00E60E1A" w:rsidRPr="00FF57D0" w:rsidRDefault="00945EB3" w:rsidP="00E60E1A">
            <w:pPr>
              <w:pStyle w:val="TableRow"/>
              <w:rPr>
                <w:rFonts w:asciiTheme="minorHAnsi" w:hAnsiTheme="minorHAnsi" w:cstheme="minorHAnsi"/>
                <w:sz w:val="20"/>
                <w:szCs w:val="20"/>
              </w:rPr>
            </w:pPr>
            <w:r w:rsidRPr="00FF57D0">
              <w:rPr>
                <w:rFonts w:asciiTheme="minorHAnsi" w:hAnsiTheme="minorHAnsi" w:cstheme="minorHAnsi"/>
                <w:sz w:val="20"/>
                <w:szCs w:val="20"/>
              </w:rPr>
              <w:t>4</w:t>
            </w:r>
            <w:r w:rsidR="00B26552" w:rsidRPr="00FF57D0">
              <w:rPr>
                <w:rFonts w:asciiTheme="minorHAnsi" w:hAnsiTheme="minorHAnsi" w:cstheme="minorHAnsi"/>
                <w:sz w:val="20"/>
                <w:szCs w:val="20"/>
              </w:rPr>
              <w:t>42</w:t>
            </w:r>
          </w:p>
        </w:tc>
      </w:tr>
      <w:tr w:rsidR="00E60E1A" w:rsidRPr="00FF57D0"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FE60755" w:rsidR="00E60E1A" w:rsidRPr="00FF57D0" w:rsidRDefault="00945EB3" w:rsidP="00E60E1A">
            <w:pPr>
              <w:pStyle w:val="TableRow"/>
              <w:rPr>
                <w:rFonts w:asciiTheme="minorHAnsi" w:hAnsiTheme="minorHAnsi" w:cstheme="minorHAnsi"/>
                <w:sz w:val="20"/>
                <w:szCs w:val="20"/>
              </w:rPr>
            </w:pPr>
            <w:r w:rsidRPr="00FF57D0">
              <w:rPr>
                <w:rFonts w:asciiTheme="minorHAnsi" w:hAnsiTheme="minorHAnsi" w:cstheme="minorHAnsi"/>
                <w:sz w:val="20"/>
                <w:szCs w:val="20"/>
              </w:rPr>
              <w:t>1</w:t>
            </w:r>
            <w:r w:rsidR="00B26552" w:rsidRPr="00FF57D0">
              <w:rPr>
                <w:rFonts w:asciiTheme="minorHAnsi" w:hAnsiTheme="minorHAnsi" w:cstheme="minorHAnsi"/>
                <w:sz w:val="20"/>
                <w:szCs w:val="20"/>
              </w:rPr>
              <w:t>0</w:t>
            </w:r>
          </w:p>
        </w:tc>
      </w:tr>
      <w:tr w:rsidR="00E60E1A" w:rsidRPr="00FF57D0"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1850F5E"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947CF88"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202</w:t>
            </w:r>
            <w:r w:rsidR="00B26552" w:rsidRPr="00FF57D0">
              <w:rPr>
                <w:rFonts w:asciiTheme="minorHAnsi" w:hAnsiTheme="minorHAnsi" w:cstheme="minorHAnsi"/>
                <w:sz w:val="20"/>
                <w:szCs w:val="20"/>
              </w:rPr>
              <w:t>3-</w:t>
            </w:r>
            <w:r w:rsidR="00A82BEC">
              <w:rPr>
                <w:rFonts w:asciiTheme="minorHAnsi" w:hAnsiTheme="minorHAnsi" w:cstheme="minorHAnsi"/>
                <w:sz w:val="20"/>
                <w:szCs w:val="20"/>
              </w:rPr>
              <w:t>4</w:t>
            </w:r>
          </w:p>
        </w:tc>
      </w:tr>
      <w:tr w:rsidR="00E60E1A" w:rsidRPr="00FF57D0"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40E15BE" w:rsidR="00E60E1A" w:rsidRPr="00FF57D0" w:rsidRDefault="00B26552" w:rsidP="00E60E1A">
            <w:pPr>
              <w:pStyle w:val="TableRow"/>
              <w:rPr>
                <w:rFonts w:asciiTheme="minorHAnsi" w:hAnsiTheme="minorHAnsi" w:cstheme="minorHAnsi"/>
                <w:sz w:val="20"/>
                <w:szCs w:val="20"/>
              </w:rPr>
            </w:pPr>
            <w:r w:rsidRPr="00FF57D0">
              <w:rPr>
                <w:rFonts w:asciiTheme="minorHAnsi" w:hAnsiTheme="minorHAnsi" w:cstheme="minorHAnsi"/>
                <w:sz w:val="20"/>
                <w:szCs w:val="20"/>
              </w:rPr>
              <w:t>December</w:t>
            </w:r>
            <w:r w:rsidR="00E60E1A" w:rsidRPr="00FF57D0">
              <w:rPr>
                <w:rFonts w:asciiTheme="minorHAnsi" w:hAnsiTheme="minorHAnsi" w:cstheme="minorHAnsi"/>
                <w:sz w:val="20"/>
                <w:szCs w:val="20"/>
              </w:rPr>
              <w:t xml:space="preserve"> 202</w:t>
            </w:r>
            <w:r w:rsidRPr="00FF57D0">
              <w:rPr>
                <w:rFonts w:asciiTheme="minorHAnsi" w:hAnsiTheme="minorHAnsi" w:cstheme="minorHAnsi"/>
                <w:sz w:val="20"/>
                <w:szCs w:val="20"/>
              </w:rPr>
              <w:t>3</w:t>
            </w:r>
          </w:p>
        </w:tc>
      </w:tr>
      <w:tr w:rsidR="00E60E1A" w:rsidRPr="00FF57D0"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B3133DB" w:rsidR="00E60E1A" w:rsidRPr="00FF57D0" w:rsidRDefault="00945EB3" w:rsidP="00E60E1A">
            <w:pPr>
              <w:pStyle w:val="TableRow"/>
              <w:rPr>
                <w:rFonts w:asciiTheme="minorHAnsi" w:hAnsiTheme="minorHAnsi" w:cstheme="minorHAnsi"/>
                <w:sz w:val="20"/>
                <w:szCs w:val="20"/>
              </w:rPr>
            </w:pPr>
            <w:r w:rsidRPr="00FF57D0">
              <w:rPr>
                <w:rFonts w:asciiTheme="minorHAnsi" w:hAnsiTheme="minorHAnsi" w:cstheme="minorHAnsi"/>
                <w:sz w:val="20"/>
                <w:szCs w:val="20"/>
              </w:rPr>
              <w:t>December</w:t>
            </w:r>
            <w:r w:rsidR="00E60E1A" w:rsidRPr="00FF57D0">
              <w:rPr>
                <w:rFonts w:asciiTheme="minorHAnsi" w:hAnsiTheme="minorHAnsi" w:cstheme="minorHAnsi"/>
                <w:sz w:val="20"/>
                <w:szCs w:val="20"/>
              </w:rPr>
              <w:t xml:space="preserve"> 202</w:t>
            </w:r>
            <w:r w:rsidR="00B26552" w:rsidRPr="00FF57D0">
              <w:rPr>
                <w:rFonts w:asciiTheme="minorHAnsi" w:hAnsiTheme="minorHAnsi" w:cstheme="minorHAnsi"/>
                <w:sz w:val="20"/>
                <w:szCs w:val="20"/>
              </w:rPr>
              <w:t>4</w:t>
            </w:r>
          </w:p>
        </w:tc>
      </w:tr>
      <w:tr w:rsidR="00E60E1A" w:rsidRPr="00FF57D0"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216F54F" w:rsidR="00E60E1A" w:rsidRPr="00FF57D0" w:rsidRDefault="00945EB3" w:rsidP="00E60E1A">
            <w:pPr>
              <w:pStyle w:val="TableRow"/>
              <w:rPr>
                <w:rFonts w:asciiTheme="minorHAnsi" w:hAnsiTheme="minorHAnsi" w:cstheme="minorHAnsi"/>
                <w:sz w:val="20"/>
                <w:szCs w:val="20"/>
              </w:rPr>
            </w:pPr>
            <w:r w:rsidRPr="00FF57D0">
              <w:rPr>
                <w:rFonts w:asciiTheme="minorHAnsi" w:hAnsiTheme="minorHAnsi" w:cstheme="minorHAnsi"/>
                <w:sz w:val="20"/>
                <w:szCs w:val="20"/>
              </w:rPr>
              <w:t>Gary Birkett</w:t>
            </w:r>
          </w:p>
        </w:tc>
      </w:tr>
      <w:tr w:rsidR="00E60E1A" w:rsidRPr="00FF57D0"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BF57130"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Pupil premium lead</w:t>
            </w:r>
            <w:r w:rsidR="00832C2C" w:rsidRPr="00FF57D0">
              <w:rPr>
                <w:rFonts w:asciiTheme="minorHAnsi" w:hAnsiTheme="minorHAnsi" w:cstheme="minorHAnsi"/>
                <w:sz w:val="20"/>
                <w:szCs w:val="20"/>
              </w:rPr>
              <w:t>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AAD6257" w:rsidR="00E60E1A" w:rsidRPr="00FF57D0" w:rsidRDefault="00945EB3" w:rsidP="00E60E1A">
            <w:pPr>
              <w:pStyle w:val="TableRow"/>
              <w:rPr>
                <w:rFonts w:asciiTheme="minorHAnsi" w:hAnsiTheme="minorHAnsi" w:cstheme="minorHAnsi"/>
                <w:sz w:val="20"/>
                <w:szCs w:val="20"/>
              </w:rPr>
            </w:pPr>
            <w:r w:rsidRPr="00FF57D0">
              <w:rPr>
                <w:rFonts w:asciiTheme="minorHAnsi" w:hAnsiTheme="minorHAnsi" w:cstheme="minorHAnsi"/>
                <w:sz w:val="20"/>
                <w:szCs w:val="20"/>
              </w:rPr>
              <w:t>Gary Birkett, Victoria Fitzgibbons</w:t>
            </w:r>
          </w:p>
        </w:tc>
      </w:tr>
      <w:tr w:rsidR="00E60E1A" w:rsidRPr="00FF57D0"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12043E1E"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047B010" w:rsidR="00E60E1A" w:rsidRPr="00FF57D0" w:rsidRDefault="00945EB3" w:rsidP="00E60E1A">
            <w:pPr>
              <w:pStyle w:val="TableRow"/>
              <w:rPr>
                <w:rFonts w:asciiTheme="minorHAnsi" w:hAnsiTheme="minorHAnsi" w:cstheme="minorHAnsi"/>
                <w:sz w:val="20"/>
                <w:szCs w:val="20"/>
              </w:rPr>
            </w:pPr>
            <w:r w:rsidRPr="00FF57D0">
              <w:rPr>
                <w:rFonts w:asciiTheme="minorHAnsi" w:hAnsiTheme="minorHAnsi" w:cstheme="minorHAnsi"/>
                <w:sz w:val="20"/>
                <w:szCs w:val="20"/>
              </w:rPr>
              <w:t>Elaine Foylan</w:t>
            </w:r>
          </w:p>
        </w:tc>
      </w:tr>
    </w:tbl>
    <w:bookmarkEnd w:id="2"/>
    <w:bookmarkEnd w:id="3"/>
    <w:bookmarkEnd w:id="4"/>
    <w:p w14:paraId="2A7D54D3" w14:textId="77777777" w:rsidR="00E66558" w:rsidRPr="00FF57D0" w:rsidRDefault="009D71E8">
      <w:pPr>
        <w:spacing w:before="480" w:line="240" w:lineRule="auto"/>
        <w:rPr>
          <w:rFonts w:asciiTheme="minorHAnsi" w:hAnsiTheme="minorHAnsi" w:cstheme="minorHAnsi"/>
          <w:b/>
          <w:color w:val="104F75"/>
          <w:sz w:val="20"/>
          <w:szCs w:val="20"/>
        </w:rPr>
      </w:pPr>
      <w:r w:rsidRPr="00FF57D0">
        <w:rPr>
          <w:rFonts w:asciiTheme="minorHAnsi" w:hAnsiTheme="minorHAnsi" w:cstheme="minorHAnsi"/>
          <w:b/>
          <w:color w:val="104F75"/>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FF57D0"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F57D0" w:rsidRDefault="009D71E8">
            <w:pPr>
              <w:pStyle w:val="TableRow"/>
              <w:rPr>
                <w:rFonts w:asciiTheme="minorHAnsi" w:hAnsiTheme="minorHAnsi" w:cstheme="minorHAnsi"/>
                <w:sz w:val="20"/>
                <w:szCs w:val="20"/>
              </w:rPr>
            </w:pPr>
            <w:r w:rsidRPr="00FF57D0">
              <w:rPr>
                <w:rFonts w:asciiTheme="minorHAnsi" w:hAnsiTheme="minorHAnsi" w:cstheme="minorHAnsi"/>
                <w:b/>
                <w:sz w:val="20"/>
                <w:szCs w:val="2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F57D0" w:rsidRDefault="009D71E8">
            <w:pPr>
              <w:pStyle w:val="TableRow"/>
              <w:rPr>
                <w:rFonts w:asciiTheme="minorHAnsi" w:hAnsiTheme="minorHAnsi" w:cstheme="minorHAnsi"/>
                <w:sz w:val="20"/>
                <w:szCs w:val="20"/>
              </w:rPr>
            </w:pPr>
            <w:r w:rsidRPr="00FF57D0">
              <w:rPr>
                <w:rFonts w:asciiTheme="minorHAnsi" w:hAnsiTheme="minorHAnsi" w:cstheme="minorHAnsi"/>
                <w:b/>
                <w:sz w:val="20"/>
                <w:szCs w:val="20"/>
              </w:rPr>
              <w:t>Amount</w:t>
            </w:r>
          </w:p>
        </w:tc>
      </w:tr>
      <w:tr w:rsidR="00E60E1A" w:rsidRPr="00FF57D0"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0E1A" w:rsidRPr="00FF57D0" w:rsidRDefault="00E60E1A" w:rsidP="00E60E1A">
            <w:pPr>
              <w:pStyle w:val="TableRow"/>
              <w:rPr>
                <w:rFonts w:asciiTheme="minorHAnsi" w:hAnsiTheme="minorHAnsi" w:cstheme="minorHAnsi"/>
                <w:sz w:val="20"/>
                <w:szCs w:val="20"/>
              </w:rPr>
            </w:pPr>
            <w:bookmarkStart w:id="14" w:name="_Hlk120882056"/>
            <w:r w:rsidRPr="00FF57D0">
              <w:rPr>
                <w:rFonts w:asciiTheme="minorHAnsi" w:hAnsiTheme="minorHAnsi" w:cstheme="minorHAnsi"/>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8B608BC"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w:t>
            </w:r>
            <w:r w:rsidR="00BE18A8">
              <w:rPr>
                <w:rFonts w:asciiTheme="minorHAnsi" w:hAnsiTheme="minorHAnsi" w:cstheme="minorHAnsi"/>
                <w:sz w:val="20"/>
                <w:szCs w:val="20"/>
              </w:rPr>
              <w:t>75</w:t>
            </w:r>
            <w:r w:rsidR="00984FFE">
              <w:rPr>
                <w:rFonts w:asciiTheme="minorHAnsi" w:hAnsiTheme="minorHAnsi" w:cstheme="minorHAnsi"/>
                <w:sz w:val="20"/>
                <w:szCs w:val="20"/>
              </w:rPr>
              <w:t>,240</w:t>
            </w:r>
            <w:bookmarkStart w:id="15" w:name="_GoBack"/>
            <w:bookmarkEnd w:id="15"/>
          </w:p>
        </w:tc>
      </w:tr>
      <w:tr w:rsidR="00E60E1A" w:rsidRPr="00FF57D0"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1F57910"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w:t>
            </w:r>
            <w:r w:rsidR="00E212AE" w:rsidRPr="00FF57D0">
              <w:rPr>
                <w:rFonts w:asciiTheme="minorHAnsi" w:hAnsiTheme="minorHAnsi" w:cstheme="minorHAnsi"/>
                <w:sz w:val="20"/>
                <w:szCs w:val="20"/>
              </w:rPr>
              <w:t>6,525</w:t>
            </w:r>
          </w:p>
        </w:tc>
      </w:tr>
      <w:bookmarkEnd w:id="14"/>
      <w:tr w:rsidR="00E60E1A" w:rsidRPr="00FF57D0"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7412220"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£0</w:t>
            </w:r>
          </w:p>
        </w:tc>
      </w:tr>
      <w:tr w:rsidR="00E60E1A" w:rsidRPr="00FF57D0"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0E1A" w:rsidRPr="00FF57D0" w:rsidRDefault="00E60E1A" w:rsidP="00E60E1A">
            <w:pPr>
              <w:pStyle w:val="TableRow"/>
              <w:rPr>
                <w:rFonts w:asciiTheme="minorHAnsi" w:hAnsiTheme="minorHAnsi" w:cstheme="minorHAnsi"/>
                <w:b/>
                <w:sz w:val="20"/>
                <w:szCs w:val="20"/>
              </w:rPr>
            </w:pPr>
            <w:r w:rsidRPr="00FF57D0">
              <w:rPr>
                <w:rFonts w:asciiTheme="minorHAnsi" w:hAnsiTheme="minorHAnsi" w:cstheme="minorHAnsi"/>
                <w:b/>
                <w:sz w:val="20"/>
                <w:szCs w:val="20"/>
              </w:rPr>
              <w:t>Total budget for this academic year</w:t>
            </w:r>
          </w:p>
          <w:p w14:paraId="2A7D54E1" w14:textId="77777777"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CAD3408" w:rsidR="00E60E1A" w:rsidRPr="00FF57D0" w:rsidRDefault="00E60E1A" w:rsidP="00E60E1A">
            <w:pPr>
              <w:pStyle w:val="TableRow"/>
              <w:rPr>
                <w:rFonts w:asciiTheme="minorHAnsi" w:hAnsiTheme="minorHAnsi" w:cstheme="minorHAnsi"/>
                <w:sz w:val="20"/>
                <w:szCs w:val="20"/>
              </w:rPr>
            </w:pPr>
            <w:r w:rsidRPr="00FF57D0">
              <w:rPr>
                <w:rFonts w:asciiTheme="minorHAnsi" w:hAnsiTheme="minorHAnsi" w:cstheme="minorHAnsi"/>
                <w:sz w:val="20"/>
                <w:szCs w:val="20"/>
              </w:rPr>
              <w:t>£</w:t>
            </w:r>
            <w:r w:rsidR="00E212AE" w:rsidRPr="00FF57D0">
              <w:rPr>
                <w:rFonts w:asciiTheme="minorHAnsi" w:hAnsiTheme="minorHAnsi" w:cstheme="minorHAnsi"/>
                <w:sz w:val="20"/>
                <w:szCs w:val="20"/>
              </w:rPr>
              <w:t>78,650</w:t>
            </w:r>
          </w:p>
        </w:tc>
      </w:tr>
    </w:tbl>
    <w:p w14:paraId="2A7D54E4" w14:textId="77777777" w:rsidR="00E66558" w:rsidRPr="00FF57D0" w:rsidRDefault="009D71E8">
      <w:pPr>
        <w:pStyle w:val="Heading1"/>
        <w:rPr>
          <w:rFonts w:asciiTheme="minorHAnsi" w:hAnsiTheme="minorHAnsi" w:cstheme="minorHAnsi"/>
          <w:sz w:val="20"/>
          <w:szCs w:val="20"/>
        </w:rPr>
      </w:pPr>
      <w:r w:rsidRPr="00FF57D0">
        <w:rPr>
          <w:rFonts w:asciiTheme="minorHAnsi" w:hAnsiTheme="minorHAnsi" w:cstheme="minorHAnsi"/>
          <w:sz w:val="20"/>
          <w:szCs w:val="20"/>
        </w:rPr>
        <w:lastRenderedPageBreak/>
        <w:t>Part A: Pupil premium strategy plan</w:t>
      </w:r>
    </w:p>
    <w:p w14:paraId="2A7D54E5" w14:textId="77777777" w:rsidR="00E66558" w:rsidRPr="00FF57D0" w:rsidRDefault="009D71E8">
      <w:pPr>
        <w:pStyle w:val="Heading2"/>
        <w:rPr>
          <w:rFonts w:asciiTheme="minorHAnsi" w:hAnsiTheme="minorHAnsi" w:cstheme="minorHAnsi"/>
          <w:sz w:val="20"/>
          <w:szCs w:val="20"/>
        </w:rPr>
      </w:pPr>
      <w:bookmarkStart w:id="16" w:name="_Toc357771640"/>
      <w:bookmarkStart w:id="17" w:name="_Toc346793418"/>
      <w:r w:rsidRPr="00FF57D0">
        <w:rPr>
          <w:rFonts w:asciiTheme="minorHAnsi" w:hAnsiTheme="minorHAnsi" w:cstheme="minorHAnsi"/>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FF57D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72CC" w14:textId="70F10056" w:rsidR="00945EB3" w:rsidRPr="00FF57D0" w:rsidRDefault="00945EB3">
            <w:pPr>
              <w:spacing w:before="120"/>
              <w:rPr>
                <w:rFonts w:asciiTheme="minorHAnsi" w:hAnsiTheme="minorHAnsi" w:cstheme="minorHAnsi"/>
                <w:sz w:val="20"/>
                <w:szCs w:val="20"/>
              </w:rPr>
            </w:pPr>
            <w:r w:rsidRPr="00FF57D0">
              <w:rPr>
                <w:rFonts w:asciiTheme="minorHAnsi" w:hAnsiTheme="minorHAnsi" w:cstheme="minorHAnsi"/>
                <w:sz w:val="20"/>
                <w:szCs w:val="20"/>
              </w:rPr>
              <w:t xml:space="preserve">The results of the 2013 cohort of children prompted a swift response and additional support is now used very effectively to enhance the quality of learning, progress and attainment of pupils. The progress and attainment of Pupil Premium children is now tracked far more rigorously. We will consider the challenges faced by vulnerable pupils, such as those who have a social worker and young carers. The activity we have outlined in this statement is also intended to support their needs, regardless of whether they are disadvantaged or not. Effective deployment of trained staff has impacted positively on the well-being and emotional development of identified pupils. The success of our deployment of resources will be measured on the progress pupils make, feedback from them, their teachers and families on their emotional wellbeing. Children’s “readiness” to learn has been aided by the investment of the Pupil Premium funding in initiatives such as SERIS (Supporting Emotional Resilience in Schools), </w:t>
            </w:r>
            <w:proofErr w:type="spellStart"/>
            <w:r w:rsidRPr="00FF57D0">
              <w:rPr>
                <w:rFonts w:asciiTheme="minorHAnsi" w:hAnsiTheme="minorHAnsi" w:cstheme="minorHAnsi"/>
                <w:sz w:val="20"/>
                <w:szCs w:val="20"/>
              </w:rPr>
              <w:t>Kidsafe</w:t>
            </w:r>
            <w:proofErr w:type="spellEnd"/>
            <w:r w:rsidRPr="00FF57D0">
              <w:rPr>
                <w:rFonts w:asciiTheme="minorHAnsi" w:hAnsiTheme="minorHAnsi" w:cstheme="minorHAnsi"/>
                <w:sz w:val="20"/>
                <w:szCs w:val="20"/>
              </w:rPr>
              <w:t xml:space="preserve"> and Young Lives. Children learning how to keep themselves safe</w:t>
            </w:r>
            <w:r w:rsidR="00832C2C" w:rsidRPr="00FF57D0">
              <w:rPr>
                <w:rFonts w:asciiTheme="minorHAnsi" w:hAnsiTheme="minorHAnsi" w:cstheme="minorHAnsi"/>
                <w:sz w:val="20"/>
                <w:szCs w:val="20"/>
              </w:rPr>
              <w:t>.  F</w:t>
            </w:r>
            <w:r w:rsidRPr="00FF57D0">
              <w:rPr>
                <w:rFonts w:asciiTheme="minorHAnsi" w:hAnsiTheme="minorHAnsi" w:cstheme="minorHAnsi"/>
                <w:sz w:val="20"/>
                <w:szCs w:val="20"/>
              </w:rPr>
              <w:t>amilies</w:t>
            </w:r>
            <w:r w:rsidR="00832C2C" w:rsidRPr="00FF57D0">
              <w:rPr>
                <w:rFonts w:asciiTheme="minorHAnsi" w:hAnsiTheme="minorHAnsi" w:cstheme="minorHAnsi"/>
                <w:sz w:val="20"/>
                <w:szCs w:val="20"/>
              </w:rPr>
              <w:t>’</w:t>
            </w:r>
            <w:r w:rsidRPr="00FF57D0">
              <w:rPr>
                <w:rFonts w:asciiTheme="minorHAnsi" w:hAnsiTheme="minorHAnsi" w:cstheme="minorHAnsi"/>
                <w:sz w:val="20"/>
                <w:szCs w:val="20"/>
              </w:rPr>
              <w:t xml:space="preserve"> improv</w:t>
            </w:r>
            <w:r w:rsidR="00832C2C" w:rsidRPr="00FF57D0">
              <w:rPr>
                <w:rFonts w:asciiTheme="minorHAnsi" w:hAnsiTheme="minorHAnsi" w:cstheme="minorHAnsi"/>
                <w:sz w:val="20"/>
                <w:szCs w:val="20"/>
              </w:rPr>
              <w:t>ed</w:t>
            </w:r>
            <w:r w:rsidRPr="00FF57D0">
              <w:rPr>
                <w:rFonts w:asciiTheme="minorHAnsi" w:hAnsiTheme="minorHAnsi" w:cstheme="minorHAnsi"/>
                <w:sz w:val="20"/>
                <w:szCs w:val="20"/>
              </w:rPr>
              <w:t xml:space="preserve"> relationships</w:t>
            </w:r>
            <w:r w:rsidR="00832C2C" w:rsidRPr="00FF57D0">
              <w:rPr>
                <w:rFonts w:asciiTheme="minorHAnsi" w:hAnsiTheme="minorHAnsi" w:cstheme="minorHAnsi"/>
                <w:sz w:val="20"/>
                <w:szCs w:val="20"/>
              </w:rPr>
              <w:t>,</w:t>
            </w:r>
            <w:r w:rsidRPr="00FF57D0">
              <w:rPr>
                <w:rFonts w:asciiTheme="minorHAnsi" w:hAnsiTheme="minorHAnsi" w:cstheme="minorHAnsi"/>
                <w:sz w:val="20"/>
                <w:szCs w:val="20"/>
              </w:rPr>
              <w:t xml:space="preserve"> through intervention from Young Lives</w:t>
            </w:r>
            <w:r w:rsidR="00832C2C" w:rsidRPr="00FF57D0">
              <w:rPr>
                <w:rFonts w:asciiTheme="minorHAnsi" w:hAnsiTheme="minorHAnsi" w:cstheme="minorHAnsi"/>
                <w:sz w:val="20"/>
                <w:szCs w:val="20"/>
              </w:rPr>
              <w:t>,</w:t>
            </w:r>
            <w:r w:rsidRPr="00FF57D0">
              <w:rPr>
                <w:rFonts w:asciiTheme="minorHAnsi" w:hAnsiTheme="minorHAnsi" w:cstheme="minorHAnsi"/>
                <w:sz w:val="20"/>
                <w:szCs w:val="20"/>
              </w:rPr>
              <w:t xml:space="preserve"> ha</w:t>
            </w:r>
            <w:r w:rsidR="00832C2C" w:rsidRPr="00FF57D0">
              <w:rPr>
                <w:rFonts w:asciiTheme="minorHAnsi" w:hAnsiTheme="minorHAnsi" w:cstheme="minorHAnsi"/>
                <w:sz w:val="20"/>
                <w:szCs w:val="20"/>
              </w:rPr>
              <w:t>s</w:t>
            </w:r>
            <w:r w:rsidRPr="00FF57D0">
              <w:rPr>
                <w:rFonts w:asciiTheme="minorHAnsi" w:hAnsiTheme="minorHAnsi" w:cstheme="minorHAnsi"/>
                <w:sz w:val="20"/>
                <w:szCs w:val="20"/>
              </w:rPr>
              <w:t xml:space="preserve"> helped overcome the barriers for learning experienced by our disadvantaged pupils. Funding will be used to subsidise residential visits and trips, as well as providing extra-curricular clubs that are free of charge. This will result in all children who wish to take part in visits doing so and the overwhelming majority of children enjoying an </w:t>
            </w:r>
            <w:r w:rsidR="00832C2C" w:rsidRPr="00FF57D0">
              <w:rPr>
                <w:rFonts w:asciiTheme="minorHAnsi" w:hAnsiTheme="minorHAnsi" w:cstheme="minorHAnsi"/>
                <w:sz w:val="20"/>
                <w:szCs w:val="20"/>
              </w:rPr>
              <w:t>after-school</w:t>
            </w:r>
            <w:r w:rsidRPr="00FF57D0">
              <w:rPr>
                <w:rFonts w:asciiTheme="minorHAnsi" w:hAnsiTheme="minorHAnsi" w:cstheme="minorHAnsi"/>
                <w:sz w:val="20"/>
                <w:szCs w:val="20"/>
              </w:rPr>
              <w:t xml:space="preserve"> activity of some sort. All of this will benefit their resilience and wellbeing, which are major barriers to educational achievement.</w:t>
            </w:r>
          </w:p>
          <w:p w14:paraId="4C160B61" w14:textId="49E59993" w:rsidR="00E60E1A" w:rsidRPr="00FF57D0" w:rsidRDefault="00E60E1A">
            <w:pPr>
              <w:spacing w:before="120"/>
              <w:rPr>
                <w:rFonts w:asciiTheme="minorHAnsi" w:hAnsiTheme="minorHAnsi" w:cstheme="minorHAnsi"/>
                <w:b/>
                <w:color w:val="0070C0"/>
                <w:sz w:val="20"/>
                <w:szCs w:val="20"/>
              </w:rPr>
            </w:pPr>
            <w:r w:rsidRPr="00FF57D0">
              <w:rPr>
                <w:rFonts w:asciiTheme="minorHAnsi" w:hAnsiTheme="minorHAnsi" w:cstheme="minorHAnsi"/>
                <w:b/>
                <w:color w:val="0070C0"/>
                <w:sz w:val="20"/>
                <w:szCs w:val="20"/>
              </w:rPr>
              <w:t>Ultimate Objectives</w:t>
            </w:r>
          </w:p>
          <w:p w14:paraId="2195EC29" w14:textId="68A6D6B4" w:rsidR="00E66558" w:rsidRPr="00FF57D0" w:rsidRDefault="00E60E1A">
            <w:pPr>
              <w:pStyle w:val="ListParagraph"/>
              <w:numPr>
                <w:ilvl w:val="0"/>
                <w:numId w:val="13"/>
              </w:numPr>
              <w:rPr>
                <w:rFonts w:asciiTheme="minorHAnsi" w:hAnsiTheme="minorHAnsi" w:cstheme="minorHAnsi"/>
                <w:i/>
                <w:iCs/>
                <w:sz w:val="20"/>
                <w:szCs w:val="20"/>
              </w:rPr>
            </w:pPr>
            <w:r w:rsidRPr="00FF57D0">
              <w:rPr>
                <w:rFonts w:asciiTheme="minorHAnsi" w:hAnsiTheme="minorHAnsi" w:cstheme="minorHAnsi"/>
                <w:iCs/>
                <w:sz w:val="20"/>
                <w:szCs w:val="20"/>
              </w:rPr>
              <w:t>To narrow the attainment gap between disadvantaged and non-disadvantaged pupil both nationally and within school data</w:t>
            </w:r>
            <w:r w:rsidR="00832C2C" w:rsidRPr="00FF57D0">
              <w:rPr>
                <w:rFonts w:asciiTheme="minorHAnsi" w:hAnsiTheme="minorHAnsi" w:cstheme="minorHAnsi"/>
                <w:iCs/>
                <w:sz w:val="20"/>
                <w:szCs w:val="20"/>
              </w:rPr>
              <w:t>.</w:t>
            </w:r>
          </w:p>
          <w:p w14:paraId="2A7D54E9" w14:textId="466E664E" w:rsidR="00E60E1A" w:rsidRPr="00FF57D0" w:rsidRDefault="00E60E1A">
            <w:pPr>
              <w:pStyle w:val="ListParagraph"/>
              <w:numPr>
                <w:ilvl w:val="0"/>
                <w:numId w:val="13"/>
              </w:numPr>
              <w:rPr>
                <w:rFonts w:asciiTheme="minorHAnsi" w:hAnsiTheme="minorHAnsi" w:cstheme="minorHAnsi"/>
                <w:i/>
                <w:iCs/>
                <w:sz w:val="20"/>
                <w:szCs w:val="20"/>
              </w:rPr>
            </w:pPr>
            <w:r w:rsidRPr="00FF57D0">
              <w:rPr>
                <w:rFonts w:asciiTheme="minorHAnsi" w:hAnsiTheme="minorHAnsi" w:cstheme="minorHAnsi"/>
                <w:iCs/>
                <w:sz w:val="20"/>
                <w:szCs w:val="20"/>
              </w:rPr>
              <w:t>To ensure children in receipt of Pupil Premium Funding are given the same extra-curricular</w:t>
            </w:r>
            <w:r w:rsidR="00A052DD" w:rsidRPr="00FF57D0">
              <w:rPr>
                <w:rFonts w:asciiTheme="minorHAnsi" w:hAnsiTheme="minorHAnsi" w:cstheme="minorHAnsi"/>
                <w:iCs/>
                <w:sz w:val="20"/>
                <w:szCs w:val="20"/>
              </w:rPr>
              <w:t xml:space="preserve"> </w:t>
            </w:r>
            <w:r w:rsidRPr="00FF57D0">
              <w:rPr>
                <w:rFonts w:asciiTheme="minorHAnsi" w:hAnsiTheme="minorHAnsi" w:cstheme="minorHAnsi"/>
                <w:iCs/>
                <w:sz w:val="20"/>
                <w:szCs w:val="20"/>
              </w:rPr>
              <w:t xml:space="preserve">opportunities </w:t>
            </w:r>
            <w:r w:rsidR="00063C59" w:rsidRPr="00FF57D0">
              <w:rPr>
                <w:rFonts w:asciiTheme="minorHAnsi" w:hAnsiTheme="minorHAnsi" w:cstheme="minorHAnsi"/>
                <w:iCs/>
                <w:sz w:val="20"/>
                <w:szCs w:val="20"/>
              </w:rPr>
              <w:t>as other pupils.</w:t>
            </w:r>
          </w:p>
        </w:tc>
      </w:tr>
    </w:tbl>
    <w:p w14:paraId="2A7D54EB" w14:textId="4A0256B2" w:rsidR="00E66558" w:rsidRPr="00FF57D0" w:rsidRDefault="009D71E8">
      <w:pPr>
        <w:pStyle w:val="Heading2"/>
        <w:spacing w:before="600"/>
        <w:rPr>
          <w:rFonts w:asciiTheme="minorHAnsi" w:hAnsiTheme="minorHAnsi" w:cstheme="minorHAnsi"/>
          <w:sz w:val="20"/>
          <w:szCs w:val="20"/>
        </w:rPr>
      </w:pPr>
      <w:r w:rsidRPr="00FF57D0">
        <w:rPr>
          <w:rFonts w:asciiTheme="minorHAnsi" w:hAnsiTheme="minorHAnsi" w:cstheme="minorHAnsi"/>
          <w:sz w:val="20"/>
          <w:szCs w:val="20"/>
        </w:rPr>
        <w:t>Challenges</w:t>
      </w:r>
    </w:p>
    <w:p w14:paraId="2A7D54EC" w14:textId="77777777" w:rsidR="00E66558" w:rsidRPr="00FF57D0" w:rsidRDefault="009D71E8">
      <w:pPr>
        <w:spacing w:before="120" w:line="240" w:lineRule="auto"/>
        <w:textAlignment w:val="baseline"/>
        <w:outlineLvl w:val="0"/>
        <w:rPr>
          <w:rFonts w:asciiTheme="minorHAnsi" w:hAnsiTheme="minorHAnsi" w:cstheme="minorHAnsi"/>
          <w:sz w:val="20"/>
          <w:szCs w:val="20"/>
        </w:rPr>
      </w:pPr>
      <w:r w:rsidRPr="00FF57D0">
        <w:rPr>
          <w:rFonts w:asciiTheme="minorHAnsi" w:hAnsiTheme="minorHAnsi" w:cstheme="minorHAnsi"/>
          <w:bCs/>
          <w:color w:val="auto"/>
          <w:sz w:val="20"/>
          <w:szCs w:val="20"/>
        </w:rPr>
        <w:t>This details</w:t>
      </w:r>
      <w:r w:rsidRPr="00FF57D0">
        <w:rPr>
          <w:rFonts w:asciiTheme="minorHAnsi" w:hAnsiTheme="minorHAnsi" w:cstheme="minorHAnsi"/>
          <w:color w:val="auto"/>
          <w:sz w:val="20"/>
          <w:szCs w:val="20"/>
        </w:rPr>
        <w:t xml:space="preserve"> the key</w:t>
      </w:r>
      <w:r w:rsidRPr="00FF57D0">
        <w:rPr>
          <w:rFonts w:asciiTheme="minorHAnsi" w:hAnsiTheme="minorHAnsi" w:cstheme="minorHAnsi"/>
          <w:bCs/>
          <w:color w:val="auto"/>
          <w:sz w:val="20"/>
          <w:szCs w:val="20"/>
        </w:rPr>
        <w:t xml:space="preserve"> </w:t>
      </w:r>
      <w:r w:rsidRPr="00FF57D0">
        <w:rPr>
          <w:rFonts w:asciiTheme="minorHAnsi" w:hAnsiTheme="minorHAnsi" w:cstheme="minorHAnsi"/>
          <w:color w:val="auto"/>
          <w:sz w:val="20"/>
          <w:szCs w:val="20"/>
        </w:rPr>
        <w:t xml:space="preserve">challenges to </w:t>
      </w:r>
      <w:r w:rsidRPr="00FF57D0">
        <w:rPr>
          <w:rFonts w:asciiTheme="minorHAnsi" w:hAnsiTheme="minorHAnsi" w:cstheme="minorHAnsi"/>
          <w:bCs/>
          <w:color w:val="auto"/>
          <w:sz w:val="20"/>
          <w:szCs w:val="20"/>
        </w:rPr>
        <w:t>achievement that we have</w:t>
      </w:r>
      <w:r w:rsidRPr="00FF57D0">
        <w:rPr>
          <w:rFonts w:asciiTheme="minorHAnsi" w:hAnsiTheme="minorHAnsi" w:cstheme="minorHAnsi"/>
          <w:color w:val="auto"/>
          <w:sz w:val="20"/>
          <w:szCs w:val="20"/>
        </w:rPr>
        <w:t xml:space="preserve"> identified among </w:t>
      </w:r>
      <w:r w:rsidRPr="00FF57D0">
        <w:rPr>
          <w:rFonts w:asciiTheme="minorHAnsi" w:hAnsiTheme="minorHAnsi" w:cstheme="minorHAnsi"/>
          <w:bCs/>
          <w:color w:val="auto"/>
          <w:sz w:val="20"/>
          <w:szCs w:val="20"/>
        </w:rPr>
        <w:t>our</w:t>
      </w:r>
      <w:r w:rsidRPr="00FF57D0">
        <w:rPr>
          <w:rFonts w:asciiTheme="minorHAnsi" w:hAnsiTheme="minorHAnsi" w:cstheme="minorHAnsi"/>
          <w:color w:val="auto"/>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FF57D0"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 xml:space="preserve">Detail of challenge </w:t>
            </w:r>
          </w:p>
        </w:tc>
      </w:tr>
      <w:tr w:rsidR="00E66558" w:rsidRPr="00FF57D0"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F57D0" w:rsidRDefault="009D71E8">
            <w:pPr>
              <w:pStyle w:val="TableRow"/>
              <w:rPr>
                <w:rFonts w:asciiTheme="minorHAnsi" w:hAnsiTheme="minorHAnsi" w:cstheme="minorHAnsi"/>
                <w:sz w:val="20"/>
                <w:szCs w:val="20"/>
              </w:rPr>
            </w:pPr>
            <w:r w:rsidRPr="00FF57D0">
              <w:rPr>
                <w:rFonts w:asciiTheme="minorHAnsi" w:hAnsiTheme="minorHAnsi" w:cstheme="minorHAnsi"/>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7B0CBF8" w:rsidR="00E66558" w:rsidRPr="00FF57D0" w:rsidRDefault="00945EB3" w:rsidP="003E2CEF">
            <w:pPr>
              <w:pStyle w:val="TableRowCentered"/>
              <w:jc w:val="left"/>
              <w:rPr>
                <w:rFonts w:asciiTheme="minorHAnsi" w:hAnsiTheme="minorHAnsi" w:cstheme="minorHAnsi"/>
                <w:sz w:val="20"/>
              </w:rPr>
            </w:pPr>
            <w:r w:rsidRPr="00FF57D0">
              <w:rPr>
                <w:rFonts w:asciiTheme="minorHAnsi" w:hAnsiTheme="minorHAnsi" w:cstheme="minorHAnsi"/>
                <w:sz w:val="20"/>
              </w:rPr>
              <w:t>The main barrier to educational achievement is the lack of emotional resilience in our children and their families, as well as some parents’ difficulties with behaviour at home. We work closely with agencies to address this through our provision.</w:t>
            </w:r>
          </w:p>
        </w:tc>
      </w:tr>
      <w:tr w:rsidR="00E66558" w:rsidRPr="00FF57D0"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F57D0" w:rsidRDefault="009D71E8">
            <w:pPr>
              <w:pStyle w:val="TableRow"/>
              <w:rPr>
                <w:rFonts w:asciiTheme="minorHAnsi" w:hAnsiTheme="minorHAnsi" w:cstheme="minorHAnsi"/>
                <w:sz w:val="20"/>
                <w:szCs w:val="20"/>
              </w:rPr>
            </w:pPr>
            <w:r w:rsidRPr="00FF57D0">
              <w:rPr>
                <w:rFonts w:asciiTheme="minorHAnsi" w:hAnsiTheme="minorHAnsi" w:cstheme="minorHAnsi"/>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FAFE43F" w:rsidR="00E66558" w:rsidRPr="00FF57D0" w:rsidRDefault="00945EB3">
            <w:pPr>
              <w:pStyle w:val="TableRowCentered"/>
              <w:jc w:val="left"/>
              <w:rPr>
                <w:rFonts w:asciiTheme="minorHAnsi" w:hAnsiTheme="minorHAnsi" w:cstheme="minorHAnsi"/>
                <w:sz w:val="20"/>
              </w:rPr>
            </w:pPr>
            <w:r w:rsidRPr="00FF57D0">
              <w:rPr>
                <w:rFonts w:asciiTheme="minorHAnsi" w:hAnsiTheme="minorHAnsi" w:cstheme="minorHAnsi"/>
                <w:sz w:val="20"/>
              </w:rPr>
              <w:t>Assessments, observations and discussions with staff indicate there is a decline in the social skills of our children. They are unable to play together amicably in some cases (due to time spent apart) and lack other skills such as table manners and toileting skills, in our younger children.</w:t>
            </w:r>
          </w:p>
        </w:tc>
      </w:tr>
      <w:tr w:rsidR="00E66558" w:rsidRPr="00FF57D0"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F57D0" w:rsidRDefault="009D71E8">
            <w:pPr>
              <w:pStyle w:val="TableRow"/>
              <w:rPr>
                <w:rFonts w:asciiTheme="minorHAnsi" w:hAnsiTheme="minorHAnsi" w:cstheme="minorHAnsi"/>
                <w:sz w:val="20"/>
                <w:szCs w:val="20"/>
              </w:rPr>
            </w:pPr>
            <w:r w:rsidRPr="00FF57D0">
              <w:rPr>
                <w:rFonts w:asciiTheme="minorHAnsi" w:hAnsiTheme="minorHAnsi" w:cstheme="minorHAnsi"/>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E40E938" w:rsidR="00E66558" w:rsidRPr="00FF57D0" w:rsidRDefault="00945EB3">
            <w:pPr>
              <w:pStyle w:val="TableRowCentered"/>
              <w:jc w:val="left"/>
              <w:rPr>
                <w:rFonts w:asciiTheme="minorHAnsi" w:hAnsiTheme="minorHAnsi" w:cstheme="minorHAnsi"/>
                <w:sz w:val="20"/>
              </w:rPr>
            </w:pPr>
            <w:r w:rsidRPr="00FF57D0">
              <w:rPr>
                <w:rFonts w:asciiTheme="minorHAnsi" w:hAnsiTheme="minorHAnsi" w:cstheme="minorHAnsi"/>
                <w:sz w:val="20"/>
              </w:rPr>
              <w:t>Our assessments show a decline in language and communication skills in our younger children.</w:t>
            </w:r>
          </w:p>
        </w:tc>
      </w:tr>
      <w:tr w:rsidR="00E66558" w:rsidRPr="00FF57D0"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F57D0" w:rsidRDefault="009D71E8">
            <w:pPr>
              <w:pStyle w:val="TableRow"/>
              <w:rPr>
                <w:rFonts w:asciiTheme="minorHAnsi" w:hAnsiTheme="minorHAnsi" w:cstheme="minorHAnsi"/>
                <w:sz w:val="20"/>
                <w:szCs w:val="20"/>
              </w:rPr>
            </w:pPr>
            <w:r w:rsidRPr="00FF57D0">
              <w:rPr>
                <w:rFonts w:asciiTheme="minorHAnsi" w:hAnsiTheme="minorHAnsi" w:cstheme="minorHAnsi"/>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FB45C7" w:rsidR="00E66558" w:rsidRPr="00FF57D0" w:rsidRDefault="003E2CEF">
            <w:pPr>
              <w:pStyle w:val="TableRowCentered"/>
              <w:jc w:val="left"/>
              <w:rPr>
                <w:rFonts w:asciiTheme="minorHAnsi" w:hAnsiTheme="minorHAnsi" w:cstheme="minorHAnsi"/>
                <w:iCs/>
                <w:sz w:val="20"/>
              </w:rPr>
            </w:pPr>
            <w:r w:rsidRPr="00FF57D0">
              <w:rPr>
                <w:rFonts w:asciiTheme="minorHAnsi" w:hAnsiTheme="minorHAnsi" w:cstheme="minorHAnsi"/>
                <w:sz w:val="20"/>
              </w:rPr>
              <w:t>Lack of enrichment experiences in and outside school due to lack of finances</w:t>
            </w:r>
            <w:r w:rsidR="00945EB3" w:rsidRPr="00FF57D0">
              <w:rPr>
                <w:rFonts w:asciiTheme="minorHAnsi" w:hAnsiTheme="minorHAnsi" w:cstheme="minorHAnsi"/>
                <w:sz w:val="20"/>
              </w:rPr>
              <w:t>.</w:t>
            </w:r>
          </w:p>
        </w:tc>
      </w:tr>
      <w:tr w:rsidR="00E66558" w:rsidRPr="00FF57D0"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FF57D0" w:rsidRDefault="009D71E8">
            <w:pPr>
              <w:pStyle w:val="TableRow"/>
              <w:rPr>
                <w:rFonts w:asciiTheme="minorHAnsi" w:hAnsiTheme="minorHAnsi" w:cstheme="minorHAnsi"/>
                <w:sz w:val="20"/>
                <w:szCs w:val="20"/>
              </w:rPr>
            </w:pPr>
            <w:bookmarkStart w:id="18" w:name="_Toc443397160"/>
            <w:r w:rsidRPr="00FF57D0">
              <w:rPr>
                <w:rFonts w:asciiTheme="minorHAnsi" w:hAnsiTheme="minorHAnsi" w:cstheme="minorHAnsi"/>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614D2FE" w:rsidR="00E66558" w:rsidRPr="00FF57D0" w:rsidRDefault="003E2CEF">
            <w:pPr>
              <w:pStyle w:val="TableRowCentered"/>
              <w:jc w:val="left"/>
              <w:rPr>
                <w:rFonts w:asciiTheme="minorHAnsi" w:hAnsiTheme="minorHAnsi" w:cstheme="minorHAnsi"/>
                <w:iCs/>
                <w:sz w:val="20"/>
              </w:rPr>
            </w:pPr>
            <w:r w:rsidRPr="00FF57D0">
              <w:rPr>
                <w:rFonts w:asciiTheme="minorHAnsi" w:hAnsiTheme="minorHAnsi" w:cstheme="minorHAnsi"/>
                <w:sz w:val="20"/>
              </w:rPr>
              <w:t>Challenging family circumstances – ensuring vulnerable families continue to access the support they need, to ensure their children feel positive and successful.</w:t>
            </w:r>
          </w:p>
        </w:tc>
      </w:tr>
    </w:tbl>
    <w:p w14:paraId="2A7D54FF" w14:textId="77777777" w:rsidR="00E66558" w:rsidRPr="00FF57D0" w:rsidRDefault="009D71E8">
      <w:pPr>
        <w:pStyle w:val="Heading2"/>
        <w:spacing w:before="600"/>
        <w:rPr>
          <w:rFonts w:asciiTheme="minorHAnsi" w:hAnsiTheme="minorHAnsi" w:cstheme="minorHAnsi"/>
          <w:sz w:val="20"/>
          <w:szCs w:val="20"/>
        </w:rPr>
      </w:pPr>
      <w:r w:rsidRPr="00FF57D0">
        <w:rPr>
          <w:rFonts w:asciiTheme="minorHAnsi" w:hAnsiTheme="minorHAnsi" w:cstheme="minorHAnsi"/>
          <w:sz w:val="20"/>
          <w:szCs w:val="20"/>
        </w:rPr>
        <w:lastRenderedPageBreak/>
        <w:t xml:space="preserve">Intended outcomes </w:t>
      </w:r>
    </w:p>
    <w:p w14:paraId="2A7D5500" w14:textId="77777777" w:rsidR="00E66558" w:rsidRPr="00FF57D0" w:rsidRDefault="009D71E8">
      <w:pPr>
        <w:rPr>
          <w:rFonts w:asciiTheme="minorHAnsi" w:hAnsiTheme="minorHAnsi" w:cstheme="minorHAnsi"/>
          <w:sz w:val="20"/>
          <w:szCs w:val="20"/>
        </w:rPr>
      </w:pPr>
      <w:r w:rsidRPr="00FF57D0">
        <w:rPr>
          <w:rFonts w:asciiTheme="minorHAnsi" w:hAnsiTheme="minorHAnsi" w:cstheme="minorHAnsi"/>
          <w:color w:val="auto"/>
          <w:sz w:val="20"/>
          <w:szCs w:val="20"/>
        </w:rPr>
        <w:t xml:space="preserve">This explains the outcomes we are aiming for </w:t>
      </w:r>
      <w:r w:rsidRPr="00FF57D0">
        <w:rPr>
          <w:rFonts w:asciiTheme="minorHAnsi" w:hAnsiTheme="minorHAnsi" w:cstheme="minorHAnsi"/>
          <w:b/>
          <w:bCs/>
          <w:color w:val="auto"/>
          <w:sz w:val="20"/>
          <w:szCs w:val="20"/>
        </w:rPr>
        <w:t>by the end of our current strategy plan</w:t>
      </w:r>
      <w:r w:rsidRPr="00FF57D0">
        <w:rPr>
          <w:rFonts w:asciiTheme="minorHAnsi" w:hAnsiTheme="minorHAnsi" w:cstheme="minorHAnsi"/>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FF57D0" w14:paraId="2A7D5503"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Success criteria</w:t>
            </w:r>
          </w:p>
        </w:tc>
      </w:tr>
      <w:tr w:rsidR="00E66558" w:rsidRPr="00FF57D0" w14:paraId="2A7D5506"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D8B8E8B" w:rsidR="00E66558" w:rsidRPr="00FF57D0" w:rsidRDefault="00C30562" w:rsidP="007845C3">
            <w:pPr>
              <w:pStyle w:val="TableRow"/>
              <w:ind w:left="0"/>
              <w:rPr>
                <w:rFonts w:asciiTheme="minorHAnsi" w:hAnsiTheme="minorHAnsi" w:cstheme="minorHAnsi"/>
                <w:sz w:val="20"/>
                <w:szCs w:val="20"/>
              </w:rPr>
            </w:pPr>
            <w:r w:rsidRPr="00FF57D0">
              <w:rPr>
                <w:rFonts w:asciiTheme="minorHAnsi" w:hAnsiTheme="minorHAnsi" w:cstheme="minorHAnsi"/>
                <w:sz w:val="20"/>
                <w:szCs w:val="20"/>
              </w:rPr>
              <w:t>Children are supported, along with their families, to become more resilient.</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66AF2B2" w:rsidR="00E66558" w:rsidRPr="00FF57D0" w:rsidRDefault="00C30562" w:rsidP="007845C3">
            <w:pPr>
              <w:pStyle w:val="TableRowCentered"/>
              <w:numPr>
                <w:ilvl w:val="0"/>
                <w:numId w:val="16"/>
              </w:numPr>
              <w:jc w:val="left"/>
              <w:rPr>
                <w:rFonts w:asciiTheme="minorHAnsi" w:hAnsiTheme="minorHAnsi" w:cstheme="minorHAnsi"/>
                <w:sz w:val="20"/>
              </w:rPr>
            </w:pPr>
            <w:r w:rsidRPr="00FF57D0">
              <w:rPr>
                <w:rFonts w:asciiTheme="minorHAnsi" w:hAnsiTheme="minorHAnsi" w:cstheme="minorHAnsi"/>
                <w:sz w:val="20"/>
              </w:rPr>
              <w:t>Children can verbalise their feelings and worries. Possible attendance issues are improved.</w:t>
            </w:r>
          </w:p>
        </w:tc>
      </w:tr>
      <w:tr w:rsidR="00E66558" w:rsidRPr="00FF57D0" w14:paraId="2A7D5509"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6E69DE1" w:rsidR="00E66558" w:rsidRPr="00FF57D0" w:rsidRDefault="00C30562">
            <w:pPr>
              <w:pStyle w:val="TableRow"/>
              <w:rPr>
                <w:rFonts w:asciiTheme="minorHAnsi" w:hAnsiTheme="minorHAnsi" w:cstheme="minorHAnsi"/>
                <w:sz w:val="20"/>
                <w:szCs w:val="20"/>
              </w:rPr>
            </w:pPr>
            <w:r w:rsidRPr="00FF57D0">
              <w:rPr>
                <w:rFonts w:asciiTheme="minorHAnsi" w:hAnsiTheme="minorHAnsi" w:cstheme="minorHAnsi"/>
                <w:sz w:val="20"/>
                <w:szCs w:val="20"/>
              </w:rPr>
              <w:t>Children’s emotional literacy skills are improved.</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8DBCCBB" w:rsidR="00E66558" w:rsidRPr="00FF57D0" w:rsidRDefault="00C30562" w:rsidP="007845C3">
            <w:pPr>
              <w:pStyle w:val="TableRowCentered"/>
              <w:numPr>
                <w:ilvl w:val="0"/>
                <w:numId w:val="17"/>
              </w:numPr>
              <w:jc w:val="left"/>
              <w:rPr>
                <w:rFonts w:asciiTheme="minorHAnsi" w:hAnsiTheme="minorHAnsi" w:cstheme="minorHAnsi"/>
                <w:sz w:val="20"/>
              </w:rPr>
            </w:pPr>
            <w:r w:rsidRPr="00FF57D0">
              <w:rPr>
                <w:rFonts w:asciiTheme="minorHAnsi" w:hAnsiTheme="minorHAnsi" w:cstheme="minorHAnsi"/>
                <w:sz w:val="20"/>
              </w:rPr>
              <w:t xml:space="preserve">Children’s termly phonics results show improvements and children who have not passed the phonics screening check in Year 1, are given the extra support they need to improve. Additional STA support </w:t>
            </w:r>
            <w:r w:rsidR="00B26552" w:rsidRPr="00FF57D0">
              <w:rPr>
                <w:rFonts w:asciiTheme="minorHAnsi" w:hAnsiTheme="minorHAnsi" w:cstheme="minorHAnsi"/>
                <w:sz w:val="20"/>
              </w:rPr>
              <w:t>for trained ELSA workers have had a positive impact on children’s wellbeing.</w:t>
            </w:r>
          </w:p>
        </w:tc>
      </w:tr>
      <w:tr w:rsidR="00E66558" w:rsidRPr="00FF57D0" w14:paraId="2A7D550C"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D7CEEFD" w:rsidR="00E66558" w:rsidRPr="00FF57D0" w:rsidRDefault="00C30562">
            <w:pPr>
              <w:pStyle w:val="TableRow"/>
              <w:rPr>
                <w:rFonts w:asciiTheme="minorHAnsi" w:hAnsiTheme="minorHAnsi" w:cstheme="minorHAnsi"/>
                <w:sz w:val="20"/>
                <w:szCs w:val="20"/>
              </w:rPr>
            </w:pPr>
            <w:r w:rsidRPr="00FF57D0">
              <w:rPr>
                <w:rFonts w:asciiTheme="minorHAnsi" w:hAnsiTheme="minorHAnsi" w:cstheme="minorHAnsi"/>
                <w:sz w:val="20"/>
                <w:szCs w:val="20"/>
              </w:rPr>
              <w:t xml:space="preserve">Children’s </w:t>
            </w:r>
            <w:r w:rsidR="00832C2C" w:rsidRPr="00FF57D0">
              <w:rPr>
                <w:rFonts w:asciiTheme="minorHAnsi" w:hAnsiTheme="minorHAnsi" w:cstheme="minorHAnsi"/>
                <w:sz w:val="20"/>
                <w:szCs w:val="20"/>
              </w:rPr>
              <w:t>b</w:t>
            </w:r>
            <w:r w:rsidRPr="00FF57D0">
              <w:rPr>
                <w:rFonts w:asciiTheme="minorHAnsi" w:hAnsiTheme="minorHAnsi" w:cstheme="minorHAnsi"/>
                <w:sz w:val="20"/>
                <w:szCs w:val="20"/>
              </w:rPr>
              <w:t xml:space="preserve">ehaviour for </w:t>
            </w:r>
            <w:r w:rsidR="00832C2C" w:rsidRPr="00FF57D0">
              <w:rPr>
                <w:rFonts w:asciiTheme="minorHAnsi" w:hAnsiTheme="minorHAnsi" w:cstheme="minorHAnsi"/>
                <w:sz w:val="20"/>
                <w:szCs w:val="20"/>
              </w:rPr>
              <w:t>l</w:t>
            </w:r>
            <w:r w:rsidRPr="00FF57D0">
              <w:rPr>
                <w:rFonts w:asciiTheme="minorHAnsi" w:hAnsiTheme="minorHAnsi" w:cstheme="minorHAnsi"/>
                <w:sz w:val="20"/>
                <w:szCs w:val="20"/>
              </w:rPr>
              <w:t>earning is improved after being detrimentally affected during lockdowns.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4EB7387" w:rsidR="00E66558" w:rsidRPr="00FF57D0" w:rsidRDefault="00C30562" w:rsidP="007845C3">
            <w:pPr>
              <w:pStyle w:val="TableRowCentered"/>
              <w:numPr>
                <w:ilvl w:val="0"/>
                <w:numId w:val="15"/>
              </w:numPr>
              <w:jc w:val="left"/>
              <w:rPr>
                <w:rFonts w:asciiTheme="minorHAnsi" w:hAnsiTheme="minorHAnsi" w:cstheme="minorHAnsi"/>
                <w:sz w:val="20"/>
              </w:rPr>
            </w:pPr>
            <w:r w:rsidRPr="00FF57D0">
              <w:rPr>
                <w:rFonts w:asciiTheme="minorHAnsi" w:hAnsiTheme="minorHAnsi" w:cstheme="minorHAnsi"/>
                <w:sz w:val="20"/>
              </w:rPr>
              <w:t xml:space="preserve">Children </w:t>
            </w:r>
            <w:r w:rsidR="00B26552" w:rsidRPr="00FF57D0">
              <w:rPr>
                <w:rFonts w:asciiTheme="minorHAnsi" w:hAnsiTheme="minorHAnsi" w:cstheme="minorHAnsi"/>
                <w:sz w:val="20"/>
              </w:rPr>
              <w:t>can</w:t>
            </w:r>
            <w:r w:rsidRPr="00FF57D0">
              <w:rPr>
                <w:rFonts w:asciiTheme="minorHAnsi" w:hAnsiTheme="minorHAnsi" w:cstheme="minorHAnsi"/>
                <w:sz w:val="20"/>
              </w:rPr>
              <w:t xml:space="preserve"> learn without distraction from outside events and therefore make the progress of which they are capable.</w:t>
            </w:r>
          </w:p>
        </w:tc>
      </w:tr>
      <w:tr w:rsidR="00E66558" w:rsidRPr="00FF57D0" w14:paraId="2A7D550F"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305B4F5" w:rsidR="00E66558" w:rsidRPr="00FF57D0" w:rsidRDefault="007845C3">
            <w:pPr>
              <w:pStyle w:val="TableRow"/>
              <w:rPr>
                <w:rFonts w:asciiTheme="minorHAnsi" w:hAnsiTheme="minorHAnsi" w:cstheme="minorHAnsi"/>
                <w:sz w:val="20"/>
                <w:szCs w:val="20"/>
              </w:rPr>
            </w:pPr>
            <w:r w:rsidRPr="00FF57D0">
              <w:rPr>
                <w:rFonts w:asciiTheme="minorHAnsi" w:hAnsiTheme="minorHAnsi" w:cstheme="minorHAnsi"/>
                <w:sz w:val="20"/>
                <w:szCs w:val="20"/>
              </w:rPr>
              <w:t>Vulnerable families continue to access the support they need, to ensure their children feel positive and successful.</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F2878" w14:textId="0CE9126A" w:rsidR="007845C3" w:rsidRPr="00FF57D0" w:rsidRDefault="007845C3" w:rsidP="007845C3">
            <w:pPr>
              <w:pStyle w:val="TableRowCentered"/>
              <w:numPr>
                <w:ilvl w:val="0"/>
                <w:numId w:val="18"/>
              </w:numPr>
              <w:jc w:val="left"/>
              <w:rPr>
                <w:rFonts w:asciiTheme="minorHAnsi" w:hAnsiTheme="minorHAnsi" w:cstheme="minorHAnsi"/>
                <w:sz w:val="20"/>
              </w:rPr>
            </w:pPr>
            <w:r w:rsidRPr="00FF57D0">
              <w:rPr>
                <w:rFonts w:asciiTheme="minorHAnsi" w:hAnsiTheme="minorHAnsi" w:cstheme="minorHAnsi"/>
                <w:sz w:val="20"/>
              </w:rPr>
              <w:t>Parent surveys/feedback show that parents feel supported by the school</w:t>
            </w:r>
            <w:r w:rsidR="00832C2C" w:rsidRPr="00FF57D0">
              <w:rPr>
                <w:rFonts w:asciiTheme="minorHAnsi" w:hAnsiTheme="minorHAnsi" w:cstheme="minorHAnsi"/>
                <w:sz w:val="20"/>
              </w:rPr>
              <w:t>.</w:t>
            </w:r>
            <w:r w:rsidRPr="00FF57D0">
              <w:rPr>
                <w:rFonts w:asciiTheme="minorHAnsi" w:hAnsiTheme="minorHAnsi" w:cstheme="minorHAnsi"/>
                <w:sz w:val="20"/>
              </w:rPr>
              <w:t xml:space="preserve">  </w:t>
            </w:r>
          </w:p>
          <w:p w14:paraId="2A7D550E" w14:textId="64743051" w:rsidR="00E66558" w:rsidRPr="00FF57D0" w:rsidRDefault="007845C3" w:rsidP="007845C3">
            <w:pPr>
              <w:pStyle w:val="TableRowCentered"/>
              <w:numPr>
                <w:ilvl w:val="0"/>
                <w:numId w:val="18"/>
              </w:numPr>
              <w:jc w:val="left"/>
              <w:rPr>
                <w:rFonts w:asciiTheme="minorHAnsi" w:hAnsiTheme="minorHAnsi" w:cstheme="minorHAnsi"/>
                <w:sz w:val="20"/>
              </w:rPr>
            </w:pPr>
            <w:r w:rsidRPr="00FF57D0">
              <w:rPr>
                <w:rFonts w:asciiTheme="minorHAnsi" w:hAnsiTheme="minorHAnsi" w:cstheme="minorHAnsi"/>
                <w:sz w:val="20"/>
              </w:rPr>
              <w:t>Parents accessing appropriate support from outside agencies</w:t>
            </w:r>
            <w:r w:rsidR="00832C2C" w:rsidRPr="00FF57D0">
              <w:rPr>
                <w:rFonts w:asciiTheme="minorHAnsi" w:hAnsiTheme="minorHAnsi" w:cstheme="minorHAnsi"/>
                <w:sz w:val="20"/>
              </w:rPr>
              <w:t>.</w:t>
            </w:r>
          </w:p>
        </w:tc>
      </w:tr>
    </w:tbl>
    <w:p w14:paraId="2A06959E" w14:textId="55911BFB" w:rsidR="00120AB1" w:rsidRPr="00FF57D0" w:rsidRDefault="00120AB1">
      <w:pPr>
        <w:suppressAutoHyphens w:val="0"/>
        <w:spacing w:after="0" w:line="240" w:lineRule="auto"/>
        <w:rPr>
          <w:rFonts w:asciiTheme="minorHAnsi" w:hAnsiTheme="minorHAnsi" w:cstheme="minorHAnsi"/>
          <w:b/>
          <w:color w:val="104F75"/>
          <w:sz w:val="20"/>
          <w:szCs w:val="20"/>
        </w:rPr>
      </w:pPr>
    </w:p>
    <w:p w14:paraId="2A7D5512" w14:textId="7B489199" w:rsidR="00E66558" w:rsidRPr="00FF57D0" w:rsidRDefault="009D71E8">
      <w:pPr>
        <w:pStyle w:val="Heading2"/>
        <w:rPr>
          <w:rFonts w:asciiTheme="minorHAnsi" w:hAnsiTheme="minorHAnsi" w:cstheme="minorHAnsi"/>
          <w:sz w:val="20"/>
          <w:szCs w:val="20"/>
        </w:rPr>
      </w:pPr>
      <w:r w:rsidRPr="00FF57D0">
        <w:rPr>
          <w:rFonts w:asciiTheme="minorHAnsi" w:hAnsiTheme="minorHAnsi" w:cstheme="minorHAnsi"/>
          <w:sz w:val="20"/>
          <w:szCs w:val="20"/>
        </w:rPr>
        <w:t>Activity in this academic year</w:t>
      </w:r>
    </w:p>
    <w:p w14:paraId="2A7D5513" w14:textId="77777777" w:rsidR="00E66558" w:rsidRPr="00FF57D0" w:rsidRDefault="009D71E8">
      <w:pPr>
        <w:spacing w:after="480"/>
        <w:rPr>
          <w:rFonts w:asciiTheme="minorHAnsi" w:hAnsiTheme="minorHAnsi" w:cstheme="minorHAnsi"/>
          <w:sz w:val="20"/>
          <w:szCs w:val="20"/>
        </w:rPr>
      </w:pPr>
      <w:r w:rsidRPr="00FF57D0">
        <w:rPr>
          <w:rFonts w:asciiTheme="minorHAnsi" w:hAnsiTheme="minorHAnsi" w:cstheme="minorHAnsi"/>
          <w:sz w:val="20"/>
          <w:szCs w:val="20"/>
        </w:rPr>
        <w:t xml:space="preserve">This details how we intend to spend our pupil premium (and recovery premium funding) </w:t>
      </w:r>
      <w:r w:rsidRPr="00FF57D0">
        <w:rPr>
          <w:rFonts w:asciiTheme="minorHAnsi" w:hAnsiTheme="minorHAnsi" w:cstheme="minorHAnsi"/>
          <w:b/>
          <w:bCs/>
          <w:sz w:val="20"/>
          <w:szCs w:val="20"/>
        </w:rPr>
        <w:t>this academic year</w:t>
      </w:r>
      <w:r w:rsidRPr="00FF57D0">
        <w:rPr>
          <w:rFonts w:asciiTheme="minorHAnsi" w:hAnsiTheme="minorHAnsi" w:cstheme="minorHAnsi"/>
          <w:sz w:val="20"/>
          <w:szCs w:val="20"/>
        </w:rPr>
        <w:t xml:space="preserve"> to address the challenges listed above.</w:t>
      </w:r>
    </w:p>
    <w:p w14:paraId="2A7D5514" w14:textId="77777777" w:rsidR="00E66558" w:rsidRPr="00FF57D0" w:rsidRDefault="009D71E8">
      <w:pPr>
        <w:pStyle w:val="Heading3"/>
        <w:rPr>
          <w:rFonts w:asciiTheme="minorHAnsi" w:hAnsiTheme="minorHAnsi" w:cstheme="minorHAnsi"/>
          <w:sz w:val="20"/>
          <w:szCs w:val="20"/>
        </w:rPr>
      </w:pPr>
      <w:r w:rsidRPr="00FF57D0">
        <w:rPr>
          <w:rFonts w:asciiTheme="minorHAnsi" w:hAnsiTheme="minorHAnsi" w:cstheme="minorHAnsi"/>
          <w:sz w:val="20"/>
          <w:szCs w:val="20"/>
        </w:rPr>
        <w:t>Teaching (for example, CPD, recruitment and retention)</w:t>
      </w:r>
    </w:p>
    <w:p w14:paraId="2A7D5515" w14:textId="4A4CB712" w:rsidR="00E66558" w:rsidRPr="00FF57D0" w:rsidRDefault="007845C3">
      <w:pPr>
        <w:rPr>
          <w:rFonts w:asciiTheme="minorHAnsi" w:hAnsiTheme="minorHAnsi" w:cstheme="minorHAnsi"/>
          <w:sz w:val="20"/>
          <w:szCs w:val="20"/>
        </w:rPr>
      </w:pPr>
      <w:r w:rsidRPr="00FF57D0">
        <w:rPr>
          <w:rFonts w:asciiTheme="minorHAnsi" w:hAnsiTheme="minorHAnsi" w:cstheme="minorHAnsi"/>
          <w:sz w:val="20"/>
          <w:szCs w:val="20"/>
        </w:rPr>
        <w:t xml:space="preserve">Budgeted cost: </w:t>
      </w:r>
      <w:r w:rsidR="00B26552" w:rsidRPr="00FF57D0">
        <w:rPr>
          <w:rFonts w:asciiTheme="minorHAnsi" w:hAnsiTheme="minorHAnsi" w:cstheme="minorHAnsi"/>
          <w:sz w:val="20"/>
          <w:szCs w:val="20"/>
        </w:rPr>
        <w:t>Nil</w:t>
      </w:r>
    </w:p>
    <w:tbl>
      <w:tblPr>
        <w:tblW w:w="5000" w:type="pct"/>
        <w:tblCellMar>
          <w:left w:w="10" w:type="dxa"/>
          <w:right w:w="10" w:type="dxa"/>
        </w:tblCellMar>
        <w:tblLook w:val="04A0" w:firstRow="1" w:lastRow="0" w:firstColumn="1" w:lastColumn="0" w:noHBand="0" w:noVBand="1"/>
      </w:tblPr>
      <w:tblGrid>
        <w:gridCol w:w="2688"/>
        <w:gridCol w:w="5387"/>
        <w:gridCol w:w="1411"/>
      </w:tblGrid>
      <w:tr w:rsidR="00E66558" w:rsidRPr="00FF57D0" w14:paraId="2A7D5519"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Challenge number(s) addressed</w:t>
            </w:r>
          </w:p>
        </w:tc>
      </w:tr>
      <w:tr w:rsidR="00E66558" w:rsidRPr="00FF57D0" w14:paraId="2A7D551D"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D9177D4" w:rsidR="00E66558" w:rsidRPr="00FF57D0" w:rsidRDefault="00B26552" w:rsidP="001754F6">
            <w:pPr>
              <w:pStyle w:val="TableRow"/>
              <w:ind w:left="0"/>
              <w:rPr>
                <w:rFonts w:asciiTheme="minorHAnsi" w:hAnsiTheme="minorHAnsi" w:cstheme="minorHAnsi"/>
                <w:sz w:val="20"/>
                <w:szCs w:val="20"/>
              </w:rPr>
            </w:pPr>
            <w:r w:rsidRPr="00FF57D0">
              <w:rPr>
                <w:rFonts w:asciiTheme="minorHAnsi" w:hAnsiTheme="minorHAnsi" w:cstheme="minorHAnsi"/>
                <w:sz w:val="20"/>
                <w:szCs w:val="20"/>
              </w:rPr>
              <w:t>The Deputy Head will complete training to become an accredited Mental Health Champion.</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0AED177" w:rsidR="00E66558" w:rsidRPr="00FF57D0" w:rsidRDefault="00BD78FB">
            <w:pPr>
              <w:pStyle w:val="TableRowCentered"/>
              <w:jc w:val="left"/>
              <w:rPr>
                <w:rFonts w:asciiTheme="minorHAnsi" w:hAnsiTheme="minorHAnsi" w:cstheme="minorHAnsi"/>
                <w:sz w:val="20"/>
              </w:rPr>
            </w:pPr>
            <w:r w:rsidRPr="00FF57D0">
              <w:rPr>
                <w:rFonts w:asciiTheme="minorHAnsi" w:hAnsiTheme="minorHAnsi" w:cstheme="minorHAnsi"/>
                <w:sz w:val="20"/>
              </w:rPr>
              <w:t xml:space="preserve">EEF “Using Your Pupil Premium Funding Effectively.”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5E87E2B" w:rsidR="00E66558"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1</w:t>
            </w:r>
            <w:r w:rsidR="00BD78FB" w:rsidRPr="00FF57D0">
              <w:rPr>
                <w:rFonts w:asciiTheme="minorHAnsi" w:hAnsiTheme="minorHAnsi" w:cstheme="minorHAnsi"/>
                <w:sz w:val="20"/>
              </w:rPr>
              <w:t>,2</w:t>
            </w:r>
            <w:r w:rsidR="00B26552" w:rsidRPr="00FF57D0">
              <w:rPr>
                <w:rFonts w:asciiTheme="minorHAnsi" w:hAnsiTheme="minorHAnsi" w:cstheme="minorHAnsi"/>
                <w:sz w:val="20"/>
              </w:rPr>
              <w:t>,5</w:t>
            </w:r>
          </w:p>
        </w:tc>
      </w:tr>
    </w:tbl>
    <w:p w14:paraId="2A7D5522" w14:textId="77777777" w:rsidR="00E66558" w:rsidRPr="00FF57D0" w:rsidRDefault="00E66558">
      <w:pPr>
        <w:keepNext/>
        <w:spacing w:after="60"/>
        <w:outlineLvl w:val="1"/>
        <w:rPr>
          <w:rFonts w:asciiTheme="minorHAnsi" w:hAnsiTheme="minorHAnsi" w:cstheme="minorHAnsi"/>
          <w:sz w:val="20"/>
          <w:szCs w:val="20"/>
        </w:rPr>
      </w:pPr>
    </w:p>
    <w:p w14:paraId="2A7D5523" w14:textId="1DC08891" w:rsidR="00E66558" w:rsidRPr="00FF57D0" w:rsidRDefault="009D71E8">
      <w:pPr>
        <w:rPr>
          <w:rFonts w:asciiTheme="minorHAnsi" w:hAnsiTheme="minorHAnsi" w:cstheme="minorHAnsi"/>
          <w:b/>
          <w:bCs/>
          <w:color w:val="104F75"/>
          <w:sz w:val="20"/>
          <w:szCs w:val="20"/>
        </w:rPr>
      </w:pPr>
      <w:r w:rsidRPr="00FF57D0">
        <w:rPr>
          <w:rFonts w:asciiTheme="minorHAnsi" w:hAnsiTheme="minorHAnsi" w:cstheme="minorHAnsi"/>
          <w:b/>
          <w:bCs/>
          <w:color w:val="104F75"/>
          <w:sz w:val="20"/>
          <w:szCs w:val="20"/>
        </w:rPr>
        <w:t xml:space="preserve">Targeted academic support (for example, </w:t>
      </w:r>
      <w:r w:rsidR="00D33FE5" w:rsidRPr="00FF57D0">
        <w:rPr>
          <w:rFonts w:asciiTheme="minorHAnsi" w:hAnsiTheme="minorHAnsi" w:cstheme="minorHAnsi"/>
          <w:b/>
          <w:bCs/>
          <w:color w:val="104F75"/>
          <w:sz w:val="20"/>
          <w:szCs w:val="20"/>
        </w:rPr>
        <w:t xml:space="preserve">tutoring, one-to-one support </w:t>
      </w:r>
      <w:r w:rsidRPr="00FF57D0">
        <w:rPr>
          <w:rFonts w:asciiTheme="minorHAnsi" w:hAnsiTheme="minorHAnsi" w:cstheme="minorHAnsi"/>
          <w:b/>
          <w:bCs/>
          <w:color w:val="104F75"/>
          <w:sz w:val="20"/>
          <w:szCs w:val="20"/>
        </w:rPr>
        <w:t xml:space="preserve">structured interventions) </w:t>
      </w:r>
    </w:p>
    <w:p w14:paraId="2A7D5524" w14:textId="4313C474" w:rsidR="00E66558" w:rsidRPr="00FF57D0" w:rsidRDefault="009D71E8">
      <w:pPr>
        <w:rPr>
          <w:rFonts w:asciiTheme="minorHAnsi" w:hAnsiTheme="minorHAnsi" w:cstheme="minorHAnsi"/>
          <w:sz w:val="20"/>
          <w:szCs w:val="20"/>
        </w:rPr>
      </w:pPr>
      <w:r w:rsidRPr="00FF57D0">
        <w:rPr>
          <w:rFonts w:asciiTheme="minorHAnsi" w:hAnsiTheme="minorHAnsi" w:cstheme="minorHAnsi"/>
          <w:sz w:val="20"/>
          <w:szCs w:val="20"/>
        </w:rPr>
        <w:t>Budgeted cost: £</w:t>
      </w:r>
      <w:r w:rsidR="00FF57D0" w:rsidRPr="00FF57D0">
        <w:rPr>
          <w:rFonts w:asciiTheme="minorHAnsi" w:hAnsiTheme="minorHAnsi" w:cstheme="minorHAnsi"/>
          <w:sz w:val="20"/>
          <w:szCs w:val="20"/>
        </w:rPr>
        <w:t>6</w:t>
      </w:r>
      <w:r w:rsidR="002F59A3" w:rsidRPr="00FF57D0">
        <w:rPr>
          <w:rFonts w:asciiTheme="minorHAnsi" w:hAnsiTheme="minorHAnsi" w:cstheme="minorHAnsi"/>
          <w:sz w:val="20"/>
          <w:szCs w:val="20"/>
        </w:rPr>
        <w:t>0,000</w:t>
      </w:r>
    </w:p>
    <w:tbl>
      <w:tblPr>
        <w:tblW w:w="5000" w:type="pct"/>
        <w:tblCellMar>
          <w:left w:w="10" w:type="dxa"/>
          <w:right w:w="10" w:type="dxa"/>
        </w:tblCellMar>
        <w:tblLook w:val="04A0" w:firstRow="1" w:lastRow="0" w:firstColumn="1" w:lastColumn="0" w:noHBand="0" w:noVBand="1"/>
      </w:tblPr>
      <w:tblGrid>
        <w:gridCol w:w="2616"/>
        <w:gridCol w:w="5679"/>
        <w:gridCol w:w="1191"/>
      </w:tblGrid>
      <w:tr w:rsidR="00E66558" w:rsidRPr="00FF57D0" w14:paraId="2A7D5528"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Activity</w:t>
            </w:r>
          </w:p>
        </w:tc>
        <w:tc>
          <w:tcPr>
            <w:tcW w:w="59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Evidence that supports this approach</w:t>
            </w:r>
          </w:p>
        </w:tc>
        <w:tc>
          <w:tcPr>
            <w:tcW w:w="8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Challenge number(s) addressed</w:t>
            </w:r>
          </w:p>
        </w:tc>
      </w:tr>
      <w:tr w:rsidR="00E66558" w:rsidRPr="00FF57D0" w14:paraId="2A7D552C"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661E652" w:rsidR="00E66558" w:rsidRPr="00FF57D0" w:rsidRDefault="001754F6" w:rsidP="001754F6">
            <w:pPr>
              <w:pStyle w:val="TableRow"/>
              <w:ind w:left="0"/>
              <w:rPr>
                <w:rFonts w:asciiTheme="minorHAnsi" w:hAnsiTheme="minorHAnsi" w:cstheme="minorHAnsi"/>
                <w:sz w:val="20"/>
                <w:szCs w:val="20"/>
              </w:rPr>
            </w:pPr>
            <w:r w:rsidRPr="00FF57D0">
              <w:rPr>
                <w:rFonts w:asciiTheme="minorHAnsi" w:hAnsiTheme="minorHAnsi" w:cstheme="minorHAnsi"/>
                <w:sz w:val="20"/>
                <w:szCs w:val="20"/>
              </w:rPr>
              <w:t>Booster lessons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4511EE1" w:rsidR="00E66558"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Education Endowment Foundation: Small Group tuition (low cost, moderate impact)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8A3AE68" w:rsidR="00E66558"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1</w:t>
            </w:r>
          </w:p>
        </w:tc>
      </w:tr>
      <w:tr w:rsidR="00E66558" w:rsidRPr="00FF57D0" w14:paraId="2A7D5530"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AEA703C" w:rsidR="00E66558" w:rsidRPr="00FF57D0" w:rsidRDefault="00BD78FB">
            <w:pPr>
              <w:pStyle w:val="TableRow"/>
              <w:rPr>
                <w:rFonts w:asciiTheme="minorHAnsi" w:hAnsiTheme="minorHAnsi" w:cstheme="minorHAnsi"/>
                <w:i/>
                <w:sz w:val="20"/>
                <w:szCs w:val="20"/>
              </w:rPr>
            </w:pPr>
            <w:r w:rsidRPr="00FF57D0">
              <w:rPr>
                <w:rFonts w:asciiTheme="minorHAnsi" w:hAnsiTheme="minorHAnsi" w:cstheme="minorHAnsi"/>
                <w:sz w:val="20"/>
                <w:szCs w:val="20"/>
              </w:rPr>
              <w:lastRenderedPageBreak/>
              <w:t>Additional STA support for phonics teaching focusing on disadvantaged children reaching the expected phonics standard in Year 1 and those who didn’t reach the required standard who are now in Years 2 3 and beyond.</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D98D562" w:rsidR="00E66558" w:rsidRPr="00FF57D0" w:rsidRDefault="00BD78FB">
            <w:pPr>
              <w:pStyle w:val="TableRowCentered"/>
              <w:jc w:val="left"/>
              <w:rPr>
                <w:rFonts w:asciiTheme="minorHAnsi" w:hAnsiTheme="minorHAnsi" w:cstheme="minorHAnsi"/>
                <w:sz w:val="20"/>
              </w:rPr>
            </w:pPr>
            <w:r w:rsidRPr="00FF57D0">
              <w:rPr>
                <w:rFonts w:asciiTheme="minorHAnsi" w:hAnsiTheme="minorHAnsi" w:cstheme="minorHAnsi"/>
                <w:sz w:val="20"/>
              </w:rPr>
              <w:t>EEF “Using Your Pupil Premium Funding Effectively.” Additional one-to-one and small group tuition in phonics enables children to be taught the letters and sounds they need to know. This results in children knowing more and remembering more in phonics.</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7857957" w:rsidR="00E66558" w:rsidRPr="00FF57D0" w:rsidRDefault="002F59A3">
            <w:pPr>
              <w:pStyle w:val="TableRowCentered"/>
              <w:jc w:val="left"/>
              <w:rPr>
                <w:rFonts w:asciiTheme="minorHAnsi" w:hAnsiTheme="minorHAnsi" w:cstheme="minorHAnsi"/>
                <w:sz w:val="20"/>
              </w:rPr>
            </w:pPr>
            <w:r w:rsidRPr="00FF57D0">
              <w:rPr>
                <w:rFonts w:asciiTheme="minorHAnsi" w:hAnsiTheme="minorHAnsi" w:cstheme="minorHAnsi"/>
                <w:sz w:val="20"/>
              </w:rPr>
              <w:t>3</w:t>
            </w:r>
          </w:p>
        </w:tc>
      </w:tr>
    </w:tbl>
    <w:p w14:paraId="627C487E" w14:textId="77777777" w:rsidR="00242FF1" w:rsidRPr="00FF57D0" w:rsidRDefault="00242FF1">
      <w:pPr>
        <w:rPr>
          <w:rFonts w:asciiTheme="minorHAnsi" w:hAnsiTheme="minorHAnsi" w:cstheme="minorHAnsi"/>
          <w:b/>
          <w:color w:val="104F75"/>
          <w:sz w:val="20"/>
          <w:szCs w:val="20"/>
        </w:rPr>
      </w:pPr>
    </w:p>
    <w:p w14:paraId="2A7D5532" w14:textId="67A93C54" w:rsidR="00E66558" w:rsidRPr="00FF57D0" w:rsidRDefault="009D71E8">
      <w:pPr>
        <w:rPr>
          <w:rFonts w:asciiTheme="minorHAnsi" w:hAnsiTheme="minorHAnsi" w:cstheme="minorHAnsi"/>
          <w:b/>
          <w:color w:val="104F75"/>
          <w:sz w:val="20"/>
          <w:szCs w:val="20"/>
        </w:rPr>
      </w:pPr>
      <w:r w:rsidRPr="00FF57D0">
        <w:rPr>
          <w:rFonts w:asciiTheme="minorHAnsi" w:hAnsiTheme="minorHAnsi" w:cstheme="minorHAnsi"/>
          <w:b/>
          <w:color w:val="104F75"/>
          <w:sz w:val="20"/>
          <w:szCs w:val="20"/>
        </w:rPr>
        <w:t>Wider strategies (for example, related to attendance, behaviour, wellbeing)</w:t>
      </w:r>
    </w:p>
    <w:p w14:paraId="2A7D5533" w14:textId="5AAE0B21" w:rsidR="00E66558" w:rsidRPr="00FF57D0" w:rsidRDefault="009D71E8">
      <w:pPr>
        <w:spacing w:before="240" w:after="120"/>
        <w:rPr>
          <w:rFonts w:asciiTheme="minorHAnsi" w:hAnsiTheme="minorHAnsi" w:cstheme="minorHAnsi"/>
          <w:sz w:val="20"/>
          <w:szCs w:val="20"/>
        </w:rPr>
      </w:pPr>
      <w:r w:rsidRPr="00FF57D0">
        <w:rPr>
          <w:rFonts w:asciiTheme="minorHAnsi" w:hAnsiTheme="minorHAnsi" w:cstheme="minorHAnsi"/>
          <w:sz w:val="20"/>
          <w:szCs w:val="20"/>
        </w:rPr>
        <w:t>Budgeted cost: £</w:t>
      </w:r>
      <w:r w:rsidR="00832C2C" w:rsidRPr="00FF57D0">
        <w:rPr>
          <w:rFonts w:asciiTheme="minorHAnsi" w:hAnsiTheme="minorHAnsi" w:cstheme="minorHAnsi"/>
          <w:sz w:val="20"/>
          <w:szCs w:val="20"/>
        </w:rPr>
        <w:t>20</w:t>
      </w:r>
      <w:r w:rsidR="00A052DD" w:rsidRPr="00FF57D0">
        <w:rPr>
          <w:rFonts w:asciiTheme="minorHAnsi" w:hAnsiTheme="minorHAnsi" w:cstheme="minorHAnsi"/>
          <w:sz w:val="20"/>
          <w:szCs w:val="20"/>
        </w:rPr>
        <w:t>,225</w:t>
      </w:r>
      <w:r w:rsidRPr="00FF57D0">
        <w:rPr>
          <w:rFonts w:asciiTheme="minorHAnsi" w:hAnsiTheme="minorHAnsi" w:cstheme="minorHAnsi"/>
          <w:sz w:val="20"/>
          <w:szCs w:val="20"/>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F57D0"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F57D0" w:rsidRDefault="009D71E8">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Challenge number(s) addressed</w:t>
            </w:r>
          </w:p>
        </w:tc>
      </w:tr>
      <w:tr w:rsidR="00E66558" w:rsidRPr="00FF57D0"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76C281D" w:rsidR="00E66558" w:rsidRPr="00FF57D0" w:rsidRDefault="001754F6">
            <w:pPr>
              <w:pStyle w:val="TableRow"/>
              <w:rPr>
                <w:rFonts w:asciiTheme="minorHAnsi" w:hAnsiTheme="minorHAnsi" w:cstheme="minorHAnsi"/>
                <w:sz w:val="20"/>
                <w:szCs w:val="20"/>
              </w:rPr>
            </w:pPr>
            <w:r w:rsidRPr="00FF57D0">
              <w:rPr>
                <w:rFonts w:asciiTheme="minorHAnsi" w:hAnsiTheme="minorHAnsi" w:cstheme="minorHAnsi"/>
                <w:sz w:val="20"/>
                <w:szCs w:val="20"/>
              </w:rPr>
              <w:t>Funding for attendance at curriculum clubs &amp; residential/school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7505402" w:rsidR="00E66558"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Education Endowment Foundation: Arts/Sports participation (low</w:t>
            </w:r>
            <w:r w:rsidR="00242FF1" w:rsidRPr="00FF57D0">
              <w:rPr>
                <w:rFonts w:asciiTheme="minorHAnsi" w:hAnsiTheme="minorHAnsi" w:cstheme="minorHAnsi"/>
                <w:sz w:val="20"/>
              </w:rPr>
              <w:t>- moderate</w:t>
            </w:r>
            <w:r w:rsidRPr="00FF57D0">
              <w:rPr>
                <w:rFonts w:asciiTheme="minorHAnsi" w:hAnsiTheme="minorHAnsi" w:cstheme="minorHAnsi"/>
                <w:sz w:val="20"/>
              </w:rPr>
              <w:t xml:space="preserve">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D330BCD" w:rsidR="00E66558" w:rsidRPr="00FF57D0" w:rsidRDefault="00242FF1">
            <w:pPr>
              <w:pStyle w:val="TableRowCentered"/>
              <w:jc w:val="left"/>
              <w:rPr>
                <w:rFonts w:asciiTheme="minorHAnsi" w:hAnsiTheme="minorHAnsi" w:cstheme="minorHAnsi"/>
                <w:sz w:val="20"/>
              </w:rPr>
            </w:pPr>
            <w:r w:rsidRPr="00FF57D0">
              <w:rPr>
                <w:rFonts w:asciiTheme="minorHAnsi" w:hAnsiTheme="minorHAnsi" w:cstheme="minorHAnsi"/>
                <w:sz w:val="20"/>
              </w:rPr>
              <w:t>3</w:t>
            </w:r>
            <w:r w:rsidR="00CD3394" w:rsidRPr="00FF57D0">
              <w:rPr>
                <w:rFonts w:asciiTheme="minorHAnsi" w:hAnsiTheme="minorHAnsi" w:cstheme="minorHAnsi"/>
                <w:sz w:val="20"/>
              </w:rPr>
              <w:t>, 4</w:t>
            </w:r>
          </w:p>
        </w:tc>
      </w:tr>
      <w:tr w:rsidR="001754F6" w:rsidRPr="00FF57D0" w14:paraId="0D241A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D167" w14:textId="46E4A826" w:rsidR="001754F6" w:rsidRPr="00FF57D0" w:rsidRDefault="001754F6">
            <w:pPr>
              <w:pStyle w:val="TableRow"/>
              <w:rPr>
                <w:rFonts w:asciiTheme="minorHAnsi" w:hAnsiTheme="minorHAnsi" w:cstheme="minorHAnsi"/>
                <w:sz w:val="20"/>
                <w:szCs w:val="20"/>
              </w:rPr>
            </w:pPr>
            <w:r w:rsidRPr="00FF57D0">
              <w:rPr>
                <w:rFonts w:asciiTheme="minorHAnsi" w:hAnsiTheme="minorHAnsi" w:cstheme="minorHAnsi"/>
                <w:sz w:val="20"/>
                <w:szCs w:val="20"/>
              </w:rPr>
              <w:t>Funding for attendance at breakfast/after school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59D9" w14:textId="615E2B84" w:rsidR="001754F6"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Education Endowment Foundation: Breakfast Club (low cost, moderate impact – 2017 research)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B65E" w14:textId="514033D6" w:rsidR="001754F6" w:rsidRPr="00FF57D0" w:rsidRDefault="00CD3394">
            <w:pPr>
              <w:pStyle w:val="TableRowCentered"/>
              <w:jc w:val="left"/>
              <w:rPr>
                <w:rFonts w:asciiTheme="minorHAnsi" w:hAnsiTheme="minorHAnsi" w:cstheme="minorHAnsi"/>
                <w:sz w:val="20"/>
              </w:rPr>
            </w:pPr>
            <w:r w:rsidRPr="00FF57D0">
              <w:rPr>
                <w:rFonts w:asciiTheme="minorHAnsi" w:hAnsiTheme="minorHAnsi" w:cstheme="minorHAnsi"/>
                <w:sz w:val="20"/>
              </w:rPr>
              <w:t>5</w:t>
            </w:r>
          </w:p>
        </w:tc>
      </w:tr>
      <w:tr w:rsidR="001754F6" w:rsidRPr="00FF57D0" w14:paraId="520DF61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5837" w14:textId="07600AA8" w:rsidR="001754F6" w:rsidRPr="00FF57D0" w:rsidRDefault="001754F6">
            <w:pPr>
              <w:pStyle w:val="TableRow"/>
              <w:rPr>
                <w:rFonts w:asciiTheme="minorHAnsi" w:hAnsiTheme="minorHAnsi" w:cstheme="minorHAnsi"/>
                <w:sz w:val="20"/>
                <w:szCs w:val="20"/>
              </w:rPr>
            </w:pPr>
            <w:r w:rsidRPr="00FF57D0">
              <w:rPr>
                <w:rFonts w:asciiTheme="minorHAnsi" w:hAnsiTheme="minorHAnsi" w:cstheme="minorHAnsi"/>
                <w:sz w:val="20"/>
                <w:szCs w:val="20"/>
              </w:rPr>
              <w:t>Funding for school uniform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06C0" w14:textId="5693AAB8" w:rsidR="001754F6"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Education Endowment Foundation: School Uniform (low cost, unclear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EC9D" w14:textId="63B98CE9" w:rsidR="001754F6" w:rsidRPr="00FF57D0" w:rsidRDefault="00CD3394">
            <w:pPr>
              <w:pStyle w:val="TableRowCentered"/>
              <w:jc w:val="left"/>
              <w:rPr>
                <w:rFonts w:asciiTheme="minorHAnsi" w:hAnsiTheme="minorHAnsi" w:cstheme="minorHAnsi"/>
                <w:sz w:val="20"/>
              </w:rPr>
            </w:pPr>
            <w:r w:rsidRPr="00FF57D0">
              <w:rPr>
                <w:rFonts w:asciiTheme="minorHAnsi" w:hAnsiTheme="minorHAnsi" w:cstheme="minorHAnsi"/>
                <w:sz w:val="20"/>
              </w:rPr>
              <w:t>4, 5</w:t>
            </w:r>
          </w:p>
        </w:tc>
      </w:tr>
      <w:tr w:rsidR="001754F6" w:rsidRPr="00FF57D0" w14:paraId="098D4DF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F098" w14:textId="35BFB6DC" w:rsidR="001754F6" w:rsidRPr="00FF57D0" w:rsidRDefault="001754F6">
            <w:pPr>
              <w:pStyle w:val="TableRow"/>
              <w:rPr>
                <w:rFonts w:asciiTheme="minorHAnsi" w:hAnsiTheme="minorHAnsi" w:cstheme="minorHAnsi"/>
                <w:sz w:val="20"/>
                <w:szCs w:val="20"/>
              </w:rPr>
            </w:pPr>
            <w:r w:rsidRPr="00FF57D0">
              <w:rPr>
                <w:rFonts w:asciiTheme="minorHAnsi" w:hAnsiTheme="minorHAnsi" w:cstheme="minorHAnsi"/>
                <w:sz w:val="20"/>
                <w:szCs w:val="20"/>
              </w:rPr>
              <w:t>Family Liaison Officer</w:t>
            </w:r>
            <w:r w:rsidR="002F59A3" w:rsidRPr="00FF57D0">
              <w:rPr>
                <w:rFonts w:asciiTheme="minorHAnsi" w:hAnsiTheme="minorHAnsi" w:cstheme="minorHAnsi"/>
                <w:sz w:val="20"/>
                <w:szCs w:val="20"/>
              </w:rPr>
              <w:t>/SERIS Worker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C7EA" w14:textId="0D06BEEC" w:rsidR="001754F6" w:rsidRPr="00FF57D0" w:rsidRDefault="001754F6">
            <w:pPr>
              <w:pStyle w:val="TableRowCentered"/>
              <w:jc w:val="left"/>
              <w:rPr>
                <w:rFonts w:asciiTheme="minorHAnsi" w:hAnsiTheme="minorHAnsi" w:cstheme="minorHAnsi"/>
                <w:sz w:val="20"/>
              </w:rPr>
            </w:pPr>
            <w:r w:rsidRPr="00FF57D0">
              <w:rPr>
                <w:rFonts w:asciiTheme="minorHAnsi" w:hAnsiTheme="minorHAnsi" w:cstheme="minorHAnsi"/>
                <w:sz w:val="20"/>
              </w:rPr>
              <w:t>Education Endowment Foundation: (moderate impact, moderate cost)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4DE7" w14:textId="3FE363BD" w:rsidR="001754F6" w:rsidRPr="00FF57D0" w:rsidRDefault="00CD3394">
            <w:pPr>
              <w:pStyle w:val="TableRowCentered"/>
              <w:jc w:val="left"/>
              <w:rPr>
                <w:rFonts w:asciiTheme="minorHAnsi" w:hAnsiTheme="minorHAnsi" w:cstheme="minorHAnsi"/>
                <w:sz w:val="20"/>
              </w:rPr>
            </w:pPr>
            <w:r w:rsidRPr="00FF57D0">
              <w:rPr>
                <w:rFonts w:asciiTheme="minorHAnsi" w:hAnsiTheme="minorHAnsi" w:cstheme="minorHAnsi"/>
                <w:sz w:val="20"/>
              </w:rPr>
              <w:t xml:space="preserve">1, </w:t>
            </w:r>
            <w:r w:rsidR="00242FF1" w:rsidRPr="00FF57D0">
              <w:rPr>
                <w:rFonts w:asciiTheme="minorHAnsi" w:hAnsiTheme="minorHAnsi" w:cstheme="minorHAnsi"/>
                <w:sz w:val="20"/>
              </w:rPr>
              <w:t>5</w:t>
            </w:r>
          </w:p>
        </w:tc>
      </w:tr>
      <w:tr w:rsidR="00CD3394" w:rsidRPr="00FF57D0" w14:paraId="20F8F43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371DD" w14:textId="0E706904" w:rsidR="00CD3394" w:rsidRPr="00FF57D0" w:rsidRDefault="00CD3394">
            <w:pPr>
              <w:pStyle w:val="TableRow"/>
              <w:rPr>
                <w:rFonts w:asciiTheme="minorHAnsi" w:hAnsiTheme="minorHAnsi" w:cstheme="minorHAnsi"/>
                <w:sz w:val="20"/>
                <w:szCs w:val="20"/>
              </w:rPr>
            </w:pPr>
            <w:r w:rsidRPr="00FF57D0">
              <w:rPr>
                <w:rFonts w:asciiTheme="minorHAnsi" w:hAnsiTheme="minorHAnsi" w:cstheme="minorHAnsi"/>
                <w:sz w:val="20"/>
                <w:szCs w:val="20"/>
              </w:rPr>
              <w:t>Funding for Young Lives to work with families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F697" w14:textId="40FDBABA" w:rsidR="00CD3394" w:rsidRPr="00FF57D0" w:rsidRDefault="00CD3394">
            <w:pPr>
              <w:pStyle w:val="TableRowCentered"/>
              <w:jc w:val="left"/>
              <w:rPr>
                <w:rFonts w:asciiTheme="minorHAnsi" w:hAnsiTheme="minorHAnsi" w:cstheme="minorHAnsi"/>
                <w:sz w:val="20"/>
              </w:rPr>
            </w:pPr>
            <w:r w:rsidRPr="00FF57D0">
              <w:rPr>
                <w:rFonts w:asciiTheme="minorHAnsi" w:hAnsiTheme="minorHAnsi" w:cstheme="minorHAnsi"/>
                <w:sz w:val="20"/>
              </w:rPr>
              <w:t>Education Endowment Foundation: (moderate impact, moderate cost)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C764" w14:textId="5610B555" w:rsidR="00CD3394" w:rsidRPr="00FF57D0" w:rsidRDefault="00CD3394">
            <w:pPr>
              <w:pStyle w:val="TableRowCentered"/>
              <w:jc w:val="left"/>
              <w:rPr>
                <w:rFonts w:asciiTheme="minorHAnsi" w:hAnsiTheme="minorHAnsi" w:cstheme="minorHAnsi"/>
                <w:sz w:val="20"/>
              </w:rPr>
            </w:pPr>
            <w:r w:rsidRPr="00FF57D0">
              <w:rPr>
                <w:rFonts w:asciiTheme="minorHAnsi" w:hAnsiTheme="minorHAnsi" w:cstheme="minorHAnsi"/>
                <w:sz w:val="20"/>
              </w:rPr>
              <w:t>1, 5</w:t>
            </w:r>
          </w:p>
        </w:tc>
      </w:tr>
    </w:tbl>
    <w:p w14:paraId="2A7D5540" w14:textId="77777777" w:rsidR="00E66558" w:rsidRPr="00FF57D0" w:rsidRDefault="00E66558">
      <w:pPr>
        <w:spacing w:before="240" w:after="0"/>
        <w:rPr>
          <w:rFonts w:asciiTheme="minorHAnsi" w:hAnsiTheme="minorHAnsi" w:cstheme="minorHAnsi"/>
          <w:b/>
          <w:bCs/>
          <w:color w:val="104F75"/>
          <w:sz w:val="20"/>
          <w:szCs w:val="20"/>
        </w:rPr>
      </w:pPr>
    </w:p>
    <w:p w14:paraId="2A7D5541" w14:textId="0FDE4112" w:rsidR="00E66558" w:rsidRPr="00FF57D0" w:rsidRDefault="009D71E8" w:rsidP="00120AB1">
      <w:pPr>
        <w:rPr>
          <w:rFonts w:asciiTheme="minorHAnsi" w:hAnsiTheme="minorHAnsi" w:cstheme="minorHAnsi"/>
          <w:sz w:val="20"/>
          <w:szCs w:val="20"/>
        </w:rPr>
      </w:pPr>
      <w:r w:rsidRPr="00FF57D0">
        <w:rPr>
          <w:rFonts w:asciiTheme="minorHAnsi" w:hAnsiTheme="minorHAnsi" w:cstheme="minorHAnsi"/>
          <w:b/>
          <w:bCs/>
          <w:color w:val="104F75"/>
          <w:sz w:val="20"/>
          <w:szCs w:val="20"/>
        </w:rPr>
        <w:t xml:space="preserve">Total budgeted cost: £ </w:t>
      </w:r>
      <w:r w:rsidR="00FF57D0" w:rsidRPr="00FF57D0">
        <w:rPr>
          <w:rFonts w:asciiTheme="minorHAnsi" w:hAnsiTheme="minorHAnsi" w:cstheme="minorHAnsi"/>
          <w:b/>
          <w:bCs/>
          <w:color w:val="104F75"/>
          <w:sz w:val="20"/>
          <w:szCs w:val="20"/>
        </w:rPr>
        <w:t>80,225</w:t>
      </w:r>
    </w:p>
    <w:p w14:paraId="2A7D5542" w14:textId="77777777" w:rsidR="00E66558" w:rsidRPr="00FF57D0" w:rsidRDefault="009D71E8">
      <w:pPr>
        <w:pStyle w:val="Heading1"/>
        <w:rPr>
          <w:rFonts w:asciiTheme="minorHAnsi" w:hAnsiTheme="minorHAnsi" w:cstheme="minorHAnsi"/>
          <w:sz w:val="20"/>
          <w:szCs w:val="20"/>
        </w:rPr>
      </w:pPr>
      <w:r w:rsidRPr="00FF57D0">
        <w:rPr>
          <w:rFonts w:asciiTheme="minorHAnsi" w:hAnsiTheme="minorHAnsi" w:cstheme="minorHAnsi"/>
          <w:sz w:val="20"/>
          <w:szCs w:val="20"/>
        </w:rPr>
        <w:lastRenderedPageBreak/>
        <w:t>Part B: Review of outcomes in the previous academic year</w:t>
      </w:r>
    </w:p>
    <w:p w14:paraId="2A7D5543" w14:textId="77777777" w:rsidR="00E66558" w:rsidRPr="00FF57D0" w:rsidRDefault="009D71E8">
      <w:pPr>
        <w:pStyle w:val="Heading2"/>
        <w:rPr>
          <w:rFonts w:asciiTheme="minorHAnsi" w:hAnsiTheme="minorHAnsi" w:cstheme="minorHAnsi"/>
          <w:sz w:val="20"/>
          <w:szCs w:val="20"/>
        </w:rPr>
      </w:pPr>
      <w:r w:rsidRPr="00FF57D0">
        <w:rPr>
          <w:rFonts w:asciiTheme="minorHAnsi" w:hAnsiTheme="minorHAnsi" w:cstheme="minorHAnsi"/>
          <w:sz w:val="20"/>
          <w:szCs w:val="20"/>
        </w:rPr>
        <w:t>Pupil premium strategy outcomes</w:t>
      </w:r>
    </w:p>
    <w:p w14:paraId="2D9F3601" w14:textId="6DB695F8" w:rsidR="006D73EE" w:rsidRPr="00FF57D0" w:rsidRDefault="009D71E8">
      <w:pPr>
        <w:rPr>
          <w:rFonts w:asciiTheme="minorHAnsi" w:hAnsiTheme="minorHAnsi" w:cstheme="minorHAnsi"/>
          <w:sz w:val="20"/>
          <w:szCs w:val="20"/>
        </w:rPr>
      </w:pPr>
      <w:r w:rsidRPr="00FF57D0">
        <w:rPr>
          <w:rFonts w:asciiTheme="minorHAnsi" w:hAnsiTheme="minorHAnsi" w:cstheme="minorHAnsi"/>
          <w:sz w:val="20"/>
          <w:szCs w:val="20"/>
        </w:rPr>
        <w:t>This details the impact that our pupil premium ac</w:t>
      </w:r>
      <w:r w:rsidR="007E71FC" w:rsidRPr="00FF57D0">
        <w:rPr>
          <w:rFonts w:asciiTheme="minorHAnsi" w:hAnsiTheme="minorHAnsi" w:cstheme="minorHAnsi"/>
          <w:sz w:val="20"/>
          <w:szCs w:val="20"/>
        </w:rPr>
        <w:t xml:space="preserve">tivity had on pupils in the </w:t>
      </w:r>
      <w:r w:rsidR="00B26552" w:rsidRPr="00FF57D0">
        <w:rPr>
          <w:rFonts w:asciiTheme="minorHAnsi" w:hAnsiTheme="minorHAnsi" w:cstheme="minorHAnsi"/>
          <w:sz w:val="20"/>
          <w:szCs w:val="20"/>
        </w:rPr>
        <w:t>2022-3</w:t>
      </w:r>
      <w:r w:rsidRPr="00FF57D0">
        <w:rPr>
          <w:rFonts w:asciiTheme="minorHAnsi" w:hAnsiTheme="minorHAnsi" w:cstheme="minorHAnsi"/>
          <w:sz w:val="20"/>
          <w:szCs w:val="20"/>
        </w:rPr>
        <w:t xml:space="preserve"> academic year. </w:t>
      </w:r>
    </w:p>
    <w:p w14:paraId="19F07CF0" w14:textId="1DF2ACE3" w:rsidR="00832C2C" w:rsidRPr="00FF57D0" w:rsidRDefault="006D73EE">
      <w:pPr>
        <w:rPr>
          <w:rFonts w:asciiTheme="minorHAnsi" w:hAnsiTheme="minorHAnsi" w:cstheme="minorHAnsi"/>
          <w:sz w:val="20"/>
          <w:szCs w:val="20"/>
        </w:rPr>
      </w:pPr>
      <w:r w:rsidRPr="00FF57D0">
        <w:rPr>
          <w:rFonts w:asciiTheme="minorHAnsi" w:hAnsiTheme="minorHAnsi" w:cstheme="minorHAnsi"/>
          <w:sz w:val="20"/>
          <w:szCs w:val="20"/>
        </w:rPr>
        <w:t xml:space="preserve">Reading and maths - our assessment of end of Key Stage 2 attainment of disadvantaged pupils shows </w:t>
      </w:r>
      <w:r w:rsidR="00832C2C" w:rsidRPr="00FF57D0">
        <w:rPr>
          <w:rFonts w:asciiTheme="minorHAnsi" w:hAnsiTheme="minorHAnsi" w:cstheme="minorHAnsi"/>
          <w:sz w:val="20"/>
          <w:szCs w:val="20"/>
        </w:rPr>
        <w:t>a decline from the previous set of data</w:t>
      </w:r>
      <w:r w:rsidRPr="00FF57D0">
        <w:rPr>
          <w:rFonts w:asciiTheme="minorHAnsi" w:hAnsiTheme="minorHAnsi" w:cstheme="minorHAnsi"/>
          <w:sz w:val="20"/>
          <w:szCs w:val="20"/>
        </w:rPr>
        <w:t>,</w:t>
      </w:r>
      <w:r w:rsidR="00832C2C" w:rsidRPr="00FF57D0">
        <w:rPr>
          <w:rFonts w:asciiTheme="minorHAnsi" w:hAnsiTheme="minorHAnsi" w:cstheme="minorHAnsi"/>
          <w:sz w:val="20"/>
          <w:szCs w:val="20"/>
        </w:rPr>
        <w:t xml:space="preserve"> which were </w:t>
      </w:r>
      <w:r w:rsidRPr="00FF57D0">
        <w:rPr>
          <w:rFonts w:asciiTheme="minorHAnsi" w:hAnsiTheme="minorHAnsi" w:cstheme="minorHAnsi"/>
          <w:sz w:val="20"/>
          <w:szCs w:val="20"/>
        </w:rPr>
        <w:t xml:space="preserve">in line with non-disadvantaged pupils in school and those nationally as well. </w:t>
      </w:r>
      <w:r w:rsidR="00832C2C" w:rsidRPr="00FF57D0">
        <w:rPr>
          <w:rFonts w:asciiTheme="minorHAnsi" w:hAnsiTheme="minorHAnsi" w:cstheme="minorHAnsi"/>
          <w:sz w:val="20"/>
          <w:szCs w:val="20"/>
        </w:rPr>
        <w:t xml:space="preserve">Individual case-studies on these </w:t>
      </w:r>
      <w:r w:rsidR="00491F49" w:rsidRPr="00FF57D0">
        <w:rPr>
          <w:rFonts w:asciiTheme="minorHAnsi" w:hAnsiTheme="minorHAnsi" w:cstheme="minorHAnsi"/>
          <w:sz w:val="20"/>
          <w:szCs w:val="20"/>
        </w:rPr>
        <w:t>9 children are available.</w:t>
      </w:r>
      <w:r w:rsidR="001E33A1" w:rsidRPr="00FF57D0">
        <w:rPr>
          <w:rFonts w:asciiTheme="minorHAnsi" w:hAnsiTheme="minorHAnsi" w:cstheme="minorHAnsi"/>
          <w:sz w:val="20"/>
          <w:szCs w:val="20"/>
        </w:rPr>
        <w:t xml:space="preserve">  They cannot be detailed here due to the risk of identifying children, as there are so few children involved.</w:t>
      </w:r>
    </w:p>
    <w:p w14:paraId="1A20DA13" w14:textId="77777777" w:rsidR="00FF57D0" w:rsidRPr="00FF57D0" w:rsidRDefault="00FF57D0" w:rsidP="00FF57D0">
      <w:pPr>
        <w:spacing w:line="240" w:lineRule="auto"/>
        <w:jc w:val="center"/>
        <w:rPr>
          <w:rFonts w:asciiTheme="minorHAnsi" w:hAnsiTheme="minorHAnsi" w:cstheme="minorHAnsi"/>
          <w:b/>
          <w:sz w:val="20"/>
          <w:szCs w:val="20"/>
          <w:u w:val="single"/>
        </w:rPr>
      </w:pPr>
      <w:r w:rsidRPr="00FF57D0">
        <w:rPr>
          <w:rFonts w:asciiTheme="minorHAnsi" w:hAnsiTheme="minorHAnsi" w:cstheme="minorHAnsi"/>
          <w:b/>
          <w:sz w:val="20"/>
          <w:szCs w:val="20"/>
          <w:u w:val="single"/>
        </w:rPr>
        <w:t>Newbarns Primary and Nursery School Results 2023</w:t>
      </w:r>
    </w:p>
    <w:p w14:paraId="795AD467" w14:textId="77777777" w:rsidR="00FF57D0" w:rsidRPr="00FF57D0" w:rsidRDefault="00FF57D0" w:rsidP="00FF57D0">
      <w:pPr>
        <w:spacing w:line="240" w:lineRule="auto"/>
        <w:rPr>
          <w:rFonts w:asciiTheme="minorHAnsi" w:hAnsiTheme="minorHAnsi" w:cstheme="minorHAnsi"/>
          <w:b/>
          <w:sz w:val="20"/>
          <w:szCs w:val="20"/>
        </w:rPr>
      </w:pPr>
    </w:p>
    <w:p w14:paraId="30DE3FE4" w14:textId="68646CFB" w:rsidR="00FF57D0" w:rsidRPr="00FF57D0" w:rsidRDefault="00FF57D0" w:rsidP="00FF57D0">
      <w:pPr>
        <w:spacing w:line="240" w:lineRule="auto"/>
        <w:rPr>
          <w:rFonts w:asciiTheme="minorHAnsi" w:hAnsiTheme="minorHAnsi" w:cstheme="minorHAnsi"/>
          <w:b/>
          <w:sz w:val="20"/>
          <w:szCs w:val="20"/>
        </w:rPr>
      </w:pPr>
      <w:r w:rsidRPr="00FF57D0">
        <w:rPr>
          <w:rFonts w:asciiTheme="minorHAnsi" w:hAnsiTheme="minorHAnsi" w:cstheme="minorHAnsi"/>
          <w:b/>
          <w:sz w:val="20"/>
          <w:szCs w:val="20"/>
        </w:rPr>
        <w:t>Early Years 2023</w:t>
      </w:r>
    </w:p>
    <w:p w14:paraId="5945D71B" w14:textId="77777777" w:rsidR="00FF57D0" w:rsidRPr="00FF57D0" w:rsidRDefault="00FF57D0" w:rsidP="00FF57D0">
      <w:pPr>
        <w:spacing w:line="240" w:lineRule="auto"/>
        <w:rPr>
          <w:rFonts w:asciiTheme="minorHAnsi" w:hAnsiTheme="minorHAnsi" w:cstheme="minorHAnsi"/>
          <w:sz w:val="20"/>
          <w:szCs w:val="20"/>
        </w:rPr>
      </w:pPr>
      <w:r w:rsidRPr="00FF57D0">
        <w:rPr>
          <w:rFonts w:asciiTheme="minorHAnsi" w:hAnsiTheme="minorHAnsi" w:cstheme="minorHAnsi"/>
          <w:sz w:val="20"/>
          <w:szCs w:val="20"/>
        </w:rPr>
        <w:t>Children enter our Nursery and Reception classes below age related expectations.  The vast majority of children in our Nursery are working at age 22-36 months.  At the end of the year, the vast majority of children were working at 30-50 months, showing good progress.</w:t>
      </w:r>
    </w:p>
    <w:p w14:paraId="675A195F" w14:textId="77777777" w:rsidR="00FF57D0" w:rsidRPr="00FF57D0" w:rsidRDefault="00FF57D0" w:rsidP="00FF57D0">
      <w:pPr>
        <w:spacing w:before="280" w:after="280" w:line="240" w:lineRule="auto"/>
        <w:rPr>
          <w:rFonts w:asciiTheme="minorHAnsi" w:hAnsiTheme="minorHAnsi" w:cstheme="minorHAnsi"/>
          <w:sz w:val="20"/>
          <w:szCs w:val="20"/>
        </w:rPr>
      </w:pPr>
      <w:r w:rsidRPr="00FF57D0">
        <w:rPr>
          <w:rFonts w:asciiTheme="minorHAnsi" w:hAnsiTheme="minorHAnsi" w:cstheme="minorHAnsi"/>
          <w:sz w:val="20"/>
          <w:szCs w:val="20"/>
        </w:rPr>
        <w:t xml:space="preserve">In Reception, the initial baseline showed that children were below expectations for their age.   At the end of the year 70.5% achieved GLD (National results are 67.3%).  Given children’s starting points on entry to school, excellent progress is evident. </w:t>
      </w:r>
    </w:p>
    <w:p w14:paraId="068C474E" w14:textId="77777777" w:rsidR="00FF57D0" w:rsidRPr="00FF57D0" w:rsidRDefault="00FF57D0" w:rsidP="00FF57D0">
      <w:pPr>
        <w:spacing w:before="240"/>
        <w:rPr>
          <w:rFonts w:asciiTheme="minorHAnsi" w:hAnsiTheme="minorHAnsi" w:cstheme="minorHAnsi"/>
          <w:sz w:val="20"/>
          <w:szCs w:val="20"/>
        </w:rPr>
      </w:pPr>
      <w:r w:rsidRPr="00FF57D0">
        <w:rPr>
          <w:rFonts w:asciiTheme="minorHAnsi" w:hAnsiTheme="minorHAnsi" w:cstheme="minorHAnsi"/>
          <w:b/>
          <w:sz w:val="20"/>
          <w:szCs w:val="20"/>
        </w:rPr>
        <w:t>Year 1 Phonics 2023</w:t>
      </w:r>
    </w:p>
    <w:p w14:paraId="4E981D21" w14:textId="77777777" w:rsidR="00FF57D0" w:rsidRPr="00FF57D0" w:rsidRDefault="00FF57D0" w:rsidP="00FF57D0">
      <w:pPr>
        <w:spacing w:before="280" w:after="280" w:line="240" w:lineRule="auto"/>
        <w:rPr>
          <w:rFonts w:asciiTheme="minorHAnsi" w:hAnsiTheme="minorHAnsi" w:cstheme="minorHAnsi"/>
          <w:sz w:val="20"/>
          <w:szCs w:val="20"/>
        </w:rPr>
      </w:pPr>
      <w:r w:rsidRPr="00FF57D0">
        <w:rPr>
          <w:rFonts w:asciiTheme="minorHAnsi" w:hAnsiTheme="minorHAnsi" w:cstheme="minorHAnsi"/>
          <w:sz w:val="20"/>
          <w:szCs w:val="20"/>
        </w:rPr>
        <w:t>90.7% (National 78.9%) This trend from 50% eight years ago shows amazing progress. 8 children re-took the check in Year 2 with 1 child reaching the standard.</w:t>
      </w:r>
    </w:p>
    <w:p w14:paraId="3CA251C1" w14:textId="77777777" w:rsidR="00FF57D0" w:rsidRPr="00FF57D0" w:rsidRDefault="00FF57D0" w:rsidP="00FF57D0">
      <w:pPr>
        <w:spacing w:before="240"/>
        <w:rPr>
          <w:rFonts w:asciiTheme="minorHAnsi" w:hAnsiTheme="minorHAnsi" w:cstheme="minorHAnsi"/>
          <w:sz w:val="20"/>
          <w:szCs w:val="20"/>
        </w:rPr>
      </w:pPr>
      <w:r w:rsidRPr="00FF57D0">
        <w:rPr>
          <w:rFonts w:asciiTheme="minorHAnsi" w:hAnsiTheme="minorHAnsi" w:cstheme="minorHAnsi"/>
          <w:b/>
          <w:sz w:val="20"/>
          <w:szCs w:val="20"/>
        </w:rPr>
        <w:t>Key Stage 1 SATS Results 2023</w:t>
      </w:r>
    </w:p>
    <w:tbl>
      <w:tblPr>
        <w:tblW w:w="1063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5249"/>
      </w:tblGrid>
      <w:tr w:rsidR="00FF57D0" w:rsidRPr="00FF57D0" w14:paraId="6AC725BD" w14:textId="77777777" w:rsidTr="00FF57D0">
        <w:trPr>
          <w:trHeight w:val="1425"/>
        </w:trPr>
        <w:tc>
          <w:tcPr>
            <w:tcW w:w="5382" w:type="dxa"/>
          </w:tcPr>
          <w:p w14:paraId="0ECEB5D0" w14:textId="6BCF0C35" w:rsidR="00FF57D0" w:rsidRPr="00FF57D0" w:rsidRDefault="00FF57D0" w:rsidP="00FF57D0">
            <w:pPr>
              <w:shd w:val="clear" w:color="auto" w:fill="FFFFFF"/>
              <w:spacing w:line="240" w:lineRule="auto"/>
              <w:ind w:left="300"/>
              <w:jc w:val="center"/>
              <w:rPr>
                <w:rFonts w:asciiTheme="minorHAnsi" w:eastAsia="Calibri" w:hAnsiTheme="minorHAnsi" w:cstheme="minorHAnsi"/>
                <w:color w:val="0B0C0C"/>
                <w:sz w:val="20"/>
                <w:szCs w:val="20"/>
                <w:u w:val="single"/>
              </w:rPr>
            </w:pPr>
            <w:bookmarkStart w:id="19" w:name="_heading=h.gjdgxs" w:colFirst="0" w:colLast="0"/>
            <w:bookmarkEnd w:id="19"/>
            <w:r w:rsidRPr="00FF57D0">
              <w:rPr>
                <w:rFonts w:asciiTheme="minorHAnsi" w:eastAsia="Calibri" w:hAnsiTheme="minorHAnsi" w:cstheme="minorHAnsi"/>
                <w:sz w:val="20"/>
                <w:szCs w:val="20"/>
                <w:u w:val="single"/>
              </w:rPr>
              <w:t>2023</w:t>
            </w:r>
            <w:r w:rsidRPr="00FF57D0">
              <w:rPr>
                <w:rFonts w:asciiTheme="minorHAnsi" w:eastAsia="Calibri" w:hAnsiTheme="minorHAnsi" w:cstheme="minorHAnsi"/>
                <w:color w:val="0B0C0C"/>
                <w:sz w:val="20"/>
                <w:szCs w:val="20"/>
                <w:u w:val="single"/>
              </w:rPr>
              <w:t xml:space="preserve"> KEY STAGE 1 SATS RESULTS </w:t>
            </w:r>
            <w:r w:rsidRPr="00FF57D0">
              <w:rPr>
                <w:rFonts w:asciiTheme="minorHAnsi" w:eastAsia="Calibri" w:hAnsiTheme="minorHAnsi" w:cstheme="minorHAnsi"/>
                <w:b/>
                <w:i/>
                <w:color w:val="0B0C0C"/>
                <w:sz w:val="20"/>
                <w:szCs w:val="20"/>
                <w:u w:val="single"/>
              </w:rPr>
              <w:t>(NATIONAL)</w:t>
            </w:r>
          </w:p>
          <w:p w14:paraId="2B21AB6E" w14:textId="77777777" w:rsidR="00FF57D0" w:rsidRPr="00FF57D0" w:rsidRDefault="00FF57D0" w:rsidP="00FF57D0">
            <w:pPr>
              <w:numPr>
                <w:ilvl w:val="0"/>
                <w:numId w:val="19"/>
              </w:numPr>
              <w:shd w:val="clear" w:color="auto" w:fill="FFFFFF"/>
              <w:suppressAutoHyphens w:val="0"/>
              <w:autoSpaceDN/>
              <w:spacing w:after="0" w:line="240" w:lineRule="auto"/>
              <w:ind w:left="300"/>
              <w:rPr>
                <w:rFonts w:asciiTheme="minorHAnsi" w:eastAsia="Calibri" w:hAnsiTheme="minorHAnsi" w:cstheme="minorHAnsi"/>
                <w:color w:val="0B0C0C"/>
                <w:sz w:val="20"/>
                <w:szCs w:val="20"/>
              </w:rPr>
            </w:pPr>
            <w:r w:rsidRPr="00FF57D0">
              <w:rPr>
                <w:rFonts w:asciiTheme="minorHAnsi" w:eastAsia="Calibri" w:hAnsiTheme="minorHAnsi" w:cstheme="minorHAnsi"/>
                <w:color w:val="0B0C0C"/>
                <w:sz w:val="20"/>
                <w:szCs w:val="20"/>
              </w:rPr>
              <w:t xml:space="preserve">68.3% of pupils met the expected standard in reading </w:t>
            </w:r>
          </w:p>
          <w:p w14:paraId="45BA5DA6" w14:textId="64750C9D" w:rsidR="00FF57D0" w:rsidRPr="00FF57D0" w:rsidRDefault="00FF57D0" w:rsidP="00FF57D0">
            <w:pPr>
              <w:numPr>
                <w:ilvl w:val="0"/>
                <w:numId w:val="19"/>
              </w:numPr>
              <w:shd w:val="clear" w:color="auto" w:fill="FFFFFF"/>
              <w:suppressAutoHyphens w:val="0"/>
              <w:autoSpaceDN/>
              <w:spacing w:after="0" w:line="240" w:lineRule="auto"/>
              <w:ind w:left="300"/>
              <w:rPr>
                <w:rFonts w:asciiTheme="minorHAnsi" w:eastAsia="Calibri" w:hAnsiTheme="minorHAnsi" w:cstheme="minorHAnsi"/>
                <w:color w:val="0B0C0C"/>
                <w:sz w:val="20"/>
                <w:szCs w:val="20"/>
              </w:rPr>
            </w:pPr>
            <w:r w:rsidRPr="00FF57D0">
              <w:rPr>
                <w:rFonts w:asciiTheme="minorHAnsi" w:eastAsia="Calibri" w:hAnsiTheme="minorHAnsi" w:cstheme="minorHAnsi"/>
                <w:color w:val="0B0C0C"/>
                <w:sz w:val="20"/>
                <w:szCs w:val="20"/>
              </w:rPr>
              <w:t xml:space="preserve">60.1% of pupils met the expected standard in </w:t>
            </w:r>
            <w:r>
              <w:rPr>
                <w:rFonts w:asciiTheme="minorHAnsi" w:eastAsia="Calibri" w:hAnsiTheme="minorHAnsi" w:cstheme="minorHAnsi"/>
                <w:color w:val="0B0C0C"/>
                <w:sz w:val="20"/>
                <w:szCs w:val="20"/>
              </w:rPr>
              <w:t>maths</w:t>
            </w:r>
            <w:r w:rsidRPr="00FF57D0">
              <w:rPr>
                <w:rFonts w:asciiTheme="minorHAnsi" w:eastAsia="Calibri" w:hAnsiTheme="minorHAnsi" w:cstheme="minorHAnsi"/>
                <w:color w:val="0B0C0C"/>
                <w:sz w:val="20"/>
                <w:szCs w:val="20"/>
              </w:rPr>
              <w:t xml:space="preserve"> </w:t>
            </w:r>
          </w:p>
          <w:p w14:paraId="19A7761C" w14:textId="77777777" w:rsidR="00FF57D0" w:rsidRPr="00FF57D0" w:rsidRDefault="00FF57D0" w:rsidP="00FF57D0">
            <w:pPr>
              <w:numPr>
                <w:ilvl w:val="0"/>
                <w:numId w:val="19"/>
              </w:numPr>
              <w:shd w:val="clear" w:color="auto" w:fill="FFFFFF"/>
              <w:suppressAutoHyphens w:val="0"/>
              <w:autoSpaceDN/>
              <w:spacing w:after="0" w:line="240" w:lineRule="auto"/>
              <w:ind w:left="300"/>
              <w:rPr>
                <w:rFonts w:asciiTheme="minorHAnsi" w:eastAsia="Calibri" w:hAnsiTheme="minorHAnsi" w:cstheme="minorHAnsi"/>
                <w:color w:val="0B0C0C"/>
                <w:sz w:val="20"/>
                <w:szCs w:val="20"/>
              </w:rPr>
            </w:pPr>
            <w:r w:rsidRPr="00FF57D0">
              <w:rPr>
                <w:rFonts w:asciiTheme="minorHAnsi" w:eastAsia="Calibri" w:hAnsiTheme="minorHAnsi" w:cstheme="minorHAnsi"/>
                <w:color w:val="0B0C0C"/>
                <w:sz w:val="20"/>
                <w:szCs w:val="20"/>
              </w:rPr>
              <w:t xml:space="preserve">70.4% of pupils met the expected standard in writing </w:t>
            </w:r>
          </w:p>
          <w:p w14:paraId="486ACA9E" w14:textId="77777777" w:rsidR="00FF57D0" w:rsidRPr="00FF57D0" w:rsidRDefault="00FF57D0" w:rsidP="00E161F1">
            <w:pPr>
              <w:shd w:val="clear" w:color="auto" w:fill="FFFFFF"/>
              <w:spacing w:line="240" w:lineRule="auto"/>
              <w:ind w:left="-60"/>
              <w:rPr>
                <w:rFonts w:asciiTheme="minorHAnsi" w:hAnsiTheme="minorHAnsi" w:cstheme="minorHAnsi"/>
                <w:color w:val="0B0C0C"/>
                <w:sz w:val="20"/>
                <w:szCs w:val="20"/>
                <w:u w:val="single"/>
              </w:rPr>
            </w:pPr>
          </w:p>
        </w:tc>
        <w:tc>
          <w:tcPr>
            <w:tcW w:w="5249" w:type="dxa"/>
          </w:tcPr>
          <w:p w14:paraId="4A88300B" w14:textId="01142B98" w:rsidR="00FF57D0" w:rsidRPr="00FF57D0" w:rsidRDefault="00FF57D0" w:rsidP="00FF57D0">
            <w:pPr>
              <w:shd w:val="clear" w:color="auto" w:fill="FFFFFF"/>
              <w:spacing w:line="240" w:lineRule="auto"/>
              <w:ind w:left="720"/>
              <w:jc w:val="center"/>
              <w:rPr>
                <w:rFonts w:asciiTheme="minorHAnsi" w:eastAsia="Calibri" w:hAnsiTheme="minorHAnsi" w:cstheme="minorHAnsi"/>
                <w:color w:val="1F4E79"/>
                <w:sz w:val="20"/>
                <w:szCs w:val="20"/>
                <w:u w:val="single"/>
              </w:rPr>
            </w:pPr>
            <w:r w:rsidRPr="00FF57D0">
              <w:rPr>
                <w:rFonts w:asciiTheme="minorHAnsi" w:eastAsia="Calibri" w:hAnsiTheme="minorHAnsi" w:cstheme="minorHAnsi"/>
                <w:color w:val="1F4E79"/>
                <w:sz w:val="20"/>
                <w:szCs w:val="20"/>
                <w:u w:val="single"/>
              </w:rPr>
              <w:t xml:space="preserve">2023 KEY STAGE 1 SATS RESULTS </w:t>
            </w:r>
            <w:r w:rsidRPr="00FF57D0">
              <w:rPr>
                <w:rFonts w:asciiTheme="minorHAnsi" w:eastAsia="Calibri" w:hAnsiTheme="minorHAnsi" w:cstheme="minorHAnsi"/>
                <w:b/>
                <w:i/>
                <w:color w:val="1F4E79"/>
                <w:sz w:val="20"/>
                <w:szCs w:val="20"/>
                <w:u w:val="single"/>
              </w:rPr>
              <w:t>(NEWBARNS)</w:t>
            </w:r>
          </w:p>
          <w:p w14:paraId="65A7E0B3" w14:textId="77777777" w:rsidR="00FF57D0" w:rsidRPr="00FF57D0" w:rsidRDefault="00FF57D0" w:rsidP="00FF57D0">
            <w:pPr>
              <w:numPr>
                <w:ilvl w:val="0"/>
                <w:numId w:val="19"/>
              </w:numPr>
              <w:shd w:val="clear" w:color="auto" w:fill="FFFFFF"/>
              <w:suppressAutoHyphens w:val="0"/>
              <w:autoSpaceDN/>
              <w:spacing w:after="0" w:line="240" w:lineRule="auto"/>
              <w:ind w:left="300"/>
              <w:rPr>
                <w:rFonts w:asciiTheme="minorHAnsi" w:eastAsia="Calibri" w:hAnsiTheme="minorHAnsi" w:cstheme="minorHAnsi"/>
                <w:color w:val="1F4E79"/>
                <w:sz w:val="20"/>
                <w:szCs w:val="20"/>
              </w:rPr>
            </w:pPr>
            <w:r w:rsidRPr="00FF57D0">
              <w:rPr>
                <w:rFonts w:asciiTheme="minorHAnsi" w:eastAsia="Calibri" w:hAnsiTheme="minorHAnsi" w:cstheme="minorHAnsi"/>
                <w:color w:val="1F4E79"/>
                <w:sz w:val="20"/>
                <w:szCs w:val="20"/>
              </w:rPr>
              <w:t xml:space="preserve">74.5% of pupils met the expected standard in reading </w:t>
            </w:r>
          </w:p>
          <w:p w14:paraId="74641089" w14:textId="2F053A55" w:rsidR="00FF57D0" w:rsidRPr="00FF57D0" w:rsidRDefault="00FF57D0" w:rsidP="00FF57D0">
            <w:pPr>
              <w:numPr>
                <w:ilvl w:val="0"/>
                <w:numId w:val="19"/>
              </w:numPr>
              <w:shd w:val="clear" w:color="auto" w:fill="FFFFFF"/>
              <w:suppressAutoHyphens w:val="0"/>
              <w:autoSpaceDN/>
              <w:spacing w:after="0" w:line="240" w:lineRule="auto"/>
              <w:ind w:left="300"/>
              <w:rPr>
                <w:rFonts w:asciiTheme="minorHAnsi" w:eastAsia="Calibri" w:hAnsiTheme="minorHAnsi" w:cstheme="minorHAnsi"/>
                <w:color w:val="1F4E79"/>
                <w:sz w:val="20"/>
                <w:szCs w:val="20"/>
              </w:rPr>
            </w:pPr>
            <w:r w:rsidRPr="00FF57D0">
              <w:rPr>
                <w:rFonts w:asciiTheme="minorHAnsi" w:eastAsia="Calibri" w:hAnsiTheme="minorHAnsi" w:cstheme="minorHAnsi"/>
                <w:color w:val="1F4E79"/>
                <w:sz w:val="20"/>
                <w:szCs w:val="20"/>
              </w:rPr>
              <w:t xml:space="preserve">63.6% of pupils met the expected standard in </w:t>
            </w:r>
            <w:r>
              <w:rPr>
                <w:rFonts w:asciiTheme="minorHAnsi" w:eastAsia="Calibri" w:hAnsiTheme="minorHAnsi" w:cstheme="minorHAnsi"/>
                <w:color w:val="1F4E79"/>
                <w:sz w:val="20"/>
                <w:szCs w:val="20"/>
              </w:rPr>
              <w:t>maths</w:t>
            </w:r>
            <w:r w:rsidRPr="00FF57D0">
              <w:rPr>
                <w:rFonts w:asciiTheme="minorHAnsi" w:eastAsia="Calibri" w:hAnsiTheme="minorHAnsi" w:cstheme="minorHAnsi"/>
                <w:color w:val="1F4E79"/>
                <w:sz w:val="20"/>
                <w:szCs w:val="20"/>
              </w:rPr>
              <w:t xml:space="preserve"> </w:t>
            </w:r>
          </w:p>
          <w:p w14:paraId="3DDB4BFC" w14:textId="77777777" w:rsidR="00FF57D0" w:rsidRPr="00FF57D0" w:rsidRDefault="00FF57D0" w:rsidP="00FF57D0">
            <w:pPr>
              <w:numPr>
                <w:ilvl w:val="0"/>
                <w:numId w:val="19"/>
              </w:numPr>
              <w:shd w:val="clear" w:color="auto" w:fill="FFFFFF"/>
              <w:suppressAutoHyphens w:val="0"/>
              <w:autoSpaceDN/>
              <w:spacing w:after="0" w:line="240" w:lineRule="auto"/>
              <w:ind w:left="300"/>
              <w:rPr>
                <w:rFonts w:asciiTheme="minorHAnsi" w:eastAsia="Calibri" w:hAnsiTheme="minorHAnsi" w:cstheme="minorHAnsi"/>
                <w:color w:val="1F4E79"/>
                <w:sz w:val="20"/>
                <w:szCs w:val="20"/>
              </w:rPr>
            </w:pPr>
            <w:r w:rsidRPr="00FF57D0">
              <w:rPr>
                <w:rFonts w:asciiTheme="minorHAnsi" w:eastAsia="Calibri" w:hAnsiTheme="minorHAnsi" w:cstheme="minorHAnsi"/>
                <w:color w:val="1F4E79"/>
                <w:sz w:val="20"/>
                <w:szCs w:val="20"/>
              </w:rPr>
              <w:t xml:space="preserve">86.4% of pupils met the expected standard in writing </w:t>
            </w:r>
          </w:p>
          <w:p w14:paraId="20FED1E6" w14:textId="77777777" w:rsidR="00FF57D0" w:rsidRPr="00FF57D0" w:rsidRDefault="00FF57D0" w:rsidP="00E161F1">
            <w:pPr>
              <w:spacing w:line="240" w:lineRule="auto"/>
              <w:rPr>
                <w:rFonts w:asciiTheme="minorHAnsi" w:eastAsia="Calibri" w:hAnsiTheme="minorHAnsi" w:cstheme="minorHAnsi"/>
                <w:sz w:val="20"/>
                <w:szCs w:val="20"/>
              </w:rPr>
            </w:pPr>
          </w:p>
        </w:tc>
      </w:tr>
    </w:tbl>
    <w:p w14:paraId="1D9BEEEE" w14:textId="77777777" w:rsidR="00FF57D0" w:rsidRDefault="00FF57D0" w:rsidP="00FF57D0">
      <w:pPr>
        <w:spacing w:before="240"/>
        <w:rPr>
          <w:rFonts w:asciiTheme="minorHAnsi" w:hAnsiTheme="minorHAnsi" w:cstheme="minorHAnsi"/>
          <w:b/>
          <w:sz w:val="20"/>
          <w:szCs w:val="20"/>
        </w:rPr>
      </w:pPr>
    </w:p>
    <w:p w14:paraId="1D4C467A" w14:textId="77777777" w:rsidR="00FF57D0" w:rsidRDefault="00FF57D0" w:rsidP="00FF57D0">
      <w:pPr>
        <w:spacing w:before="240"/>
        <w:rPr>
          <w:rFonts w:asciiTheme="minorHAnsi" w:hAnsiTheme="minorHAnsi" w:cstheme="minorHAnsi"/>
          <w:b/>
          <w:sz w:val="20"/>
          <w:szCs w:val="20"/>
        </w:rPr>
      </w:pPr>
    </w:p>
    <w:p w14:paraId="1CC6372E" w14:textId="77777777" w:rsidR="00FF57D0" w:rsidRDefault="00FF57D0" w:rsidP="00FF57D0">
      <w:pPr>
        <w:spacing w:before="240"/>
        <w:rPr>
          <w:rFonts w:asciiTheme="minorHAnsi" w:hAnsiTheme="minorHAnsi" w:cstheme="minorHAnsi"/>
          <w:b/>
          <w:sz w:val="20"/>
          <w:szCs w:val="20"/>
        </w:rPr>
      </w:pPr>
    </w:p>
    <w:p w14:paraId="511E08B0" w14:textId="77777777" w:rsidR="00FF57D0" w:rsidRDefault="00FF57D0" w:rsidP="00FF57D0">
      <w:pPr>
        <w:spacing w:before="240"/>
        <w:rPr>
          <w:rFonts w:asciiTheme="minorHAnsi" w:hAnsiTheme="minorHAnsi" w:cstheme="minorHAnsi"/>
          <w:b/>
          <w:sz w:val="20"/>
          <w:szCs w:val="20"/>
        </w:rPr>
      </w:pPr>
    </w:p>
    <w:p w14:paraId="4CEF2927" w14:textId="77777777" w:rsidR="00FF57D0" w:rsidRDefault="00FF57D0" w:rsidP="00FF57D0">
      <w:pPr>
        <w:spacing w:before="240"/>
        <w:rPr>
          <w:rFonts w:asciiTheme="minorHAnsi" w:hAnsiTheme="minorHAnsi" w:cstheme="minorHAnsi"/>
          <w:b/>
          <w:sz w:val="20"/>
          <w:szCs w:val="20"/>
        </w:rPr>
      </w:pPr>
    </w:p>
    <w:p w14:paraId="1E42EDA4" w14:textId="77777777" w:rsidR="00FF57D0" w:rsidRDefault="00FF57D0" w:rsidP="00FF57D0">
      <w:pPr>
        <w:spacing w:before="240"/>
        <w:rPr>
          <w:rFonts w:asciiTheme="minorHAnsi" w:hAnsiTheme="minorHAnsi" w:cstheme="minorHAnsi"/>
          <w:b/>
          <w:sz w:val="20"/>
          <w:szCs w:val="20"/>
        </w:rPr>
      </w:pPr>
    </w:p>
    <w:p w14:paraId="019FA89F" w14:textId="77777777" w:rsidR="00FF57D0" w:rsidRDefault="00FF57D0" w:rsidP="00FF57D0">
      <w:pPr>
        <w:spacing w:before="240"/>
        <w:rPr>
          <w:rFonts w:asciiTheme="minorHAnsi" w:hAnsiTheme="minorHAnsi" w:cstheme="minorHAnsi"/>
          <w:b/>
          <w:sz w:val="20"/>
          <w:szCs w:val="20"/>
        </w:rPr>
      </w:pPr>
    </w:p>
    <w:p w14:paraId="5EA5C167" w14:textId="77777777" w:rsidR="00FF57D0" w:rsidRDefault="00FF57D0" w:rsidP="00FF57D0">
      <w:pPr>
        <w:spacing w:before="240"/>
        <w:rPr>
          <w:rFonts w:asciiTheme="minorHAnsi" w:hAnsiTheme="minorHAnsi" w:cstheme="minorHAnsi"/>
          <w:b/>
          <w:sz w:val="20"/>
          <w:szCs w:val="20"/>
        </w:rPr>
      </w:pPr>
    </w:p>
    <w:p w14:paraId="74FFC4E9" w14:textId="65148100" w:rsidR="00FF57D0" w:rsidRPr="00FF57D0" w:rsidRDefault="00FF57D0" w:rsidP="00FF57D0">
      <w:pPr>
        <w:spacing w:before="240"/>
        <w:rPr>
          <w:rFonts w:asciiTheme="minorHAnsi" w:hAnsiTheme="minorHAnsi" w:cstheme="minorHAnsi"/>
          <w:b/>
          <w:sz w:val="20"/>
          <w:szCs w:val="20"/>
        </w:rPr>
      </w:pPr>
      <w:r w:rsidRPr="00FF57D0">
        <w:rPr>
          <w:rFonts w:asciiTheme="minorHAnsi" w:hAnsiTheme="minorHAnsi" w:cstheme="minorHAnsi"/>
          <w:b/>
          <w:sz w:val="20"/>
          <w:szCs w:val="20"/>
        </w:rPr>
        <w:lastRenderedPageBreak/>
        <w:t>Key Stage 2 SATS Results 2023</w:t>
      </w: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40"/>
        <w:gridCol w:w="2940"/>
      </w:tblGrid>
      <w:tr w:rsidR="00FF57D0" w:rsidRPr="00FF57D0" w14:paraId="7D6FA261" w14:textId="77777777" w:rsidTr="00FF57D0">
        <w:trPr>
          <w:trHeight w:val="974"/>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20539" w14:textId="77777777" w:rsidR="00FF57D0" w:rsidRPr="00FF57D0" w:rsidRDefault="00FF57D0" w:rsidP="00E161F1">
            <w:pPr>
              <w:spacing w:before="240"/>
              <w:rPr>
                <w:rFonts w:asciiTheme="minorHAnsi" w:hAnsiTheme="minorHAnsi" w:cstheme="minorHAnsi"/>
                <w:b/>
                <w:sz w:val="20"/>
                <w:szCs w:val="20"/>
              </w:rPr>
            </w:pPr>
            <w:r w:rsidRPr="00FF57D0">
              <w:rPr>
                <w:rFonts w:asciiTheme="minorHAnsi" w:hAnsiTheme="minorHAnsi" w:cstheme="minorHAnsi"/>
                <w:b/>
                <w:sz w:val="20"/>
                <w:szCs w:val="20"/>
              </w:rPr>
              <w:t>Subject</w:t>
            </w:r>
          </w:p>
        </w:tc>
        <w:tc>
          <w:tcPr>
            <w:tcW w:w="29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FF28D0" w14:textId="77777777" w:rsidR="00FF57D0" w:rsidRPr="00FF57D0" w:rsidRDefault="00FF57D0" w:rsidP="00E161F1">
            <w:pPr>
              <w:spacing w:before="240"/>
              <w:jc w:val="center"/>
              <w:rPr>
                <w:rFonts w:asciiTheme="minorHAnsi" w:hAnsiTheme="minorHAnsi" w:cstheme="minorHAnsi"/>
                <w:b/>
                <w:sz w:val="20"/>
                <w:szCs w:val="20"/>
              </w:rPr>
            </w:pPr>
            <w:r w:rsidRPr="00FF57D0">
              <w:rPr>
                <w:rFonts w:asciiTheme="minorHAnsi" w:hAnsiTheme="minorHAnsi" w:cstheme="minorHAnsi"/>
                <w:b/>
                <w:sz w:val="20"/>
                <w:szCs w:val="20"/>
              </w:rPr>
              <w:t>Newbarns (Met the expected standard)</w:t>
            </w:r>
          </w:p>
        </w:tc>
        <w:tc>
          <w:tcPr>
            <w:tcW w:w="29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CD6384" w14:textId="77777777" w:rsidR="00FF57D0" w:rsidRPr="00FF57D0" w:rsidRDefault="00FF57D0" w:rsidP="00E161F1">
            <w:pPr>
              <w:spacing w:before="240"/>
              <w:jc w:val="center"/>
              <w:rPr>
                <w:rFonts w:asciiTheme="minorHAnsi" w:hAnsiTheme="minorHAnsi" w:cstheme="minorHAnsi"/>
                <w:b/>
                <w:sz w:val="20"/>
                <w:szCs w:val="20"/>
              </w:rPr>
            </w:pPr>
            <w:r w:rsidRPr="00FF57D0">
              <w:rPr>
                <w:rFonts w:asciiTheme="minorHAnsi" w:hAnsiTheme="minorHAnsi" w:cstheme="minorHAnsi"/>
                <w:b/>
                <w:sz w:val="20"/>
                <w:szCs w:val="20"/>
              </w:rPr>
              <w:t>National (Met the expected standard)</w:t>
            </w:r>
          </w:p>
        </w:tc>
      </w:tr>
      <w:tr w:rsidR="00FF57D0" w:rsidRPr="00FF57D0" w14:paraId="2D17C193" w14:textId="77777777" w:rsidTr="00BE663B">
        <w:trPr>
          <w:trHeight w:val="491"/>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B57054" w14:textId="77777777" w:rsidR="00FF57D0" w:rsidRPr="00FF57D0" w:rsidRDefault="00FF57D0" w:rsidP="00E161F1">
            <w:pPr>
              <w:spacing w:before="240"/>
              <w:rPr>
                <w:rFonts w:asciiTheme="minorHAnsi" w:hAnsiTheme="minorHAnsi" w:cstheme="minorHAnsi"/>
                <w:sz w:val="20"/>
                <w:szCs w:val="20"/>
              </w:rPr>
            </w:pPr>
            <w:r w:rsidRPr="00FF57D0">
              <w:rPr>
                <w:rFonts w:asciiTheme="minorHAnsi" w:hAnsiTheme="minorHAnsi" w:cstheme="minorHAnsi"/>
                <w:sz w:val="20"/>
                <w:szCs w:val="20"/>
              </w:rPr>
              <w:t>Reading (Test)</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51A3218E"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75.9%</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7A4B12A8"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72.6%</w:t>
            </w:r>
          </w:p>
        </w:tc>
      </w:tr>
      <w:tr w:rsidR="00FF57D0" w:rsidRPr="00FF57D0" w14:paraId="36EA73CF" w14:textId="77777777" w:rsidTr="00E161F1">
        <w:trPr>
          <w:trHeight w:val="755"/>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69F8B3" w14:textId="77777777" w:rsidR="00FF57D0" w:rsidRPr="00FF57D0" w:rsidRDefault="00FF57D0" w:rsidP="00E161F1">
            <w:pPr>
              <w:spacing w:before="240"/>
              <w:rPr>
                <w:rFonts w:asciiTheme="minorHAnsi" w:hAnsiTheme="minorHAnsi" w:cstheme="minorHAnsi"/>
                <w:sz w:val="20"/>
                <w:szCs w:val="20"/>
              </w:rPr>
            </w:pPr>
            <w:r w:rsidRPr="00FF57D0">
              <w:rPr>
                <w:rFonts w:asciiTheme="minorHAnsi" w:hAnsiTheme="minorHAnsi" w:cstheme="minorHAnsi"/>
                <w:sz w:val="20"/>
                <w:szCs w:val="20"/>
              </w:rPr>
              <w:t>Writing (Teacher Assessment)</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1376ABC5"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75%</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4AA855A5"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71.5%</w:t>
            </w:r>
          </w:p>
        </w:tc>
      </w:tr>
      <w:tr w:rsidR="00FF57D0" w:rsidRPr="00FF57D0" w14:paraId="318F2E42" w14:textId="77777777" w:rsidTr="00E161F1">
        <w:trPr>
          <w:trHeight w:val="485"/>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699002" w14:textId="77777777" w:rsidR="00FF57D0" w:rsidRPr="00FF57D0" w:rsidRDefault="00FF57D0" w:rsidP="00E161F1">
            <w:pPr>
              <w:spacing w:before="240"/>
              <w:rPr>
                <w:rFonts w:asciiTheme="minorHAnsi" w:hAnsiTheme="minorHAnsi" w:cstheme="minorHAnsi"/>
                <w:sz w:val="20"/>
                <w:szCs w:val="20"/>
              </w:rPr>
            </w:pPr>
            <w:r w:rsidRPr="00FF57D0">
              <w:rPr>
                <w:rFonts w:asciiTheme="minorHAnsi" w:hAnsiTheme="minorHAnsi" w:cstheme="minorHAnsi"/>
                <w:sz w:val="20"/>
                <w:szCs w:val="20"/>
              </w:rPr>
              <w:t>Maths (Test)</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7BC68553"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72.2%</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09F5B0E0"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72.9%</w:t>
            </w:r>
          </w:p>
        </w:tc>
      </w:tr>
      <w:tr w:rsidR="00FF57D0" w:rsidRPr="00FF57D0" w14:paraId="65782233" w14:textId="77777777" w:rsidTr="00E161F1">
        <w:trPr>
          <w:trHeight w:val="755"/>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EE6C3F" w14:textId="77777777" w:rsidR="00FF57D0" w:rsidRPr="00FF57D0" w:rsidRDefault="00FF57D0" w:rsidP="00E161F1">
            <w:pPr>
              <w:spacing w:before="240"/>
              <w:rPr>
                <w:rFonts w:asciiTheme="minorHAnsi" w:hAnsiTheme="minorHAnsi" w:cstheme="minorHAnsi"/>
                <w:sz w:val="20"/>
                <w:szCs w:val="20"/>
              </w:rPr>
            </w:pPr>
            <w:r w:rsidRPr="00FF57D0">
              <w:rPr>
                <w:rFonts w:asciiTheme="minorHAnsi" w:hAnsiTheme="minorHAnsi" w:cstheme="minorHAnsi"/>
                <w:sz w:val="20"/>
                <w:szCs w:val="20"/>
              </w:rPr>
              <w:t>Spelling Punctuation and Grammar (Test)</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41BB97A9"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77.8%</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54B60203" w14:textId="77777777" w:rsidR="00FF57D0" w:rsidRPr="00FF57D0" w:rsidRDefault="00FF57D0" w:rsidP="00E161F1">
            <w:pPr>
              <w:spacing w:before="240"/>
              <w:jc w:val="center"/>
              <w:rPr>
                <w:rFonts w:asciiTheme="minorHAnsi" w:hAnsiTheme="minorHAnsi" w:cstheme="minorHAnsi"/>
                <w:sz w:val="20"/>
                <w:szCs w:val="20"/>
              </w:rPr>
            </w:pPr>
            <w:r w:rsidRPr="00FF57D0">
              <w:rPr>
                <w:rFonts w:asciiTheme="minorHAnsi" w:hAnsiTheme="minorHAnsi" w:cstheme="minorHAnsi"/>
                <w:sz w:val="20"/>
                <w:szCs w:val="20"/>
              </w:rPr>
              <w:t>72%</w:t>
            </w:r>
          </w:p>
        </w:tc>
      </w:tr>
    </w:tbl>
    <w:p w14:paraId="4CC4FB0F" w14:textId="77777777" w:rsidR="00FF57D0" w:rsidRPr="00FF57D0" w:rsidRDefault="00FF57D0" w:rsidP="00FF57D0">
      <w:pPr>
        <w:rPr>
          <w:rFonts w:asciiTheme="minorHAnsi" w:hAnsiTheme="minorHAnsi" w:cstheme="minorHAnsi"/>
          <w:b/>
          <w:sz w:val="20"/>
          <w:szCs w:val="20"/>
        </w:rPr>
      </w:pPr>
    </w:p>
    <w:p w14:paraId="2494253F" w14:textId="79A7F7F8" w:rsidR="00BE663B" w:rsidRPr="00BE663B" w:rsidRDefault="00BE663B" w:rsidP="00BE663B">
      <w:pPr>
        <w:rPr>
          <w:rFonts w:asciiTheme="minorHAnsi" w:hAnsiTheme="minorHAnsi" w:cstheme="minorHAnsi"/>
          <w:b/>
          <w:sz w:val="20"/>
          <w:szCs w:val="20"/>
        </w:rPr>
      </w:pPr>
      <w:r>
        <w:rPr>
          <w:noProof/>
        </w:rPr>
        <w:drawing>
          <wp:anchor distT="0" distB="0" distL="114300" distR="114300" simplePos="0" relativeHeight="251658240" behindDoc="1" locked="0" layoutInCell="1" allowOverlap="1" wp14:anchorId="543A6F93" wp14:editId="3BE0D809">
            <wp:simplePos x="0" y="0"/>
            <wp:positionH relativeFrom="margin">
              <wp:align>center</wp:align>
            </wp:positionH>
            <wp:positionV relativeFrom="paragraph">
              <wp:posOffset>212090</wp:posOffset>
            </wp:positionV>
            <wp:extent cx="7049770" cy="1295400"/>
            <wp:effectExtent l="0" t="0" r="0" b="0"/>
            <wp:wrapTight wrapText="bothSides">
              <wp:wrapPolygon edited="0">
                <wp:start x="0" y="0"/>
                <wp:lineTo x="0" y="21282"/>
                <wp:lineTo x="21538" y="21282"/>
                <wp:lineTo x="21538" y="0"/>
                <wp:lineTo x="0" y="0"/>
              </wp:wrapPolygon>
            </wp:wrapTight>
            <wp:docPr id="4383518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51814" name="Picture 1" descr="A screenshot of a computer&#10;&#10;Description automatically generated"/>
                    <pic:cNvPicPr/>
                  </pic:nvPicPr>
                  <pic:blipFill rotWithShape="1">
                    <a:blip r:embed="rId7">
                      <a:extLst>
                        <a:ext uri="{28A0092B-C50C-407E-A947-70E740481C1C}">
                          <a14:useLocalDpi xmlns:a14="http://schemas.microsoft.com/office/drawing/2010/main" val="0"/>
                        </a:ext>
                      </a:extLst>
                    </a:blip>
                    <a:srcRect l="22430" t="34818" r="29707" b="55119"/>
                    <a:stretch/>
                  </pic:blipFill>
                  <pic:spPr bwMode="auto">
                    <a:xfrm>
                      <a:off x="0" y="0"/>
                      <a:ext cx="704977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57D0" w:rsidRPr="00FF57D0">
        <w:rPr>
          <w:rFonts w:asciiTheme="minorHAnsi" w:hAnsiTheme="minorHAnsi" w:cstheme="minorHAnsi"/>
          <w:b/>
          <w:sz w:val="20"/>
          <w:szCs w:val="20"/>
        </w:rPr>
        <w:t>Reading, Writing and Maths combined – 64.2</w:t>
      </w:r>
      <w:proofErr w:type="gramStart"/>
      <w:r w:rsidR="00FF57D0" w:rsidRPr="00FF57D0">
        <w:rPr>
          <w:rFonts w:asciiTheme="minorHAnsi" w:hAnsiTheme="minorHAnsi" w:cstheme="minorHAnsi"/>
          <w:b/>
          <w:sz w:val="20"/>
          <w:szCs w:val="20"/>
        </w:rPr>
        <w:t>%  (</w:t>
      </w:r>
      <w:proofErr w:type="gramEnd"/>
      <w:r w:rsidR="00FF57D0" w:rsidRPr="00FF57D0">
        <w:rPr>
          <w:rFonts w:asciiTheme="minorHAnsi" w:hAnsiTheme="minorHAnsi" w:cstheme="minorHAnsi"/>
          <w:b/>
          <w:sz w:val="20"/>
          <w:szCs w:val="20"/>
        </w:rPr>
        <w:t>National – 59%)</w:t>
      </w:r>
      <w:bookmarkEnd w:id="16"/>
      <w:bookmarkEnd w:id="17"/>
      <w:bookmarkEnd w:id="18"/>
    </w:p>
    <w:p w14:paraId="24B2BEAB" w14:textId="356E483C" w:rsidR="00CD3394" w:rsidRPr="00FF57D0" w:rsidRDefault="00CD3394" w:rsidP="00CD3394">
      <w:pPr>
        <w:pStyle w:val="Heading2"/>
        <w:spacing w:before="600"/>
        <w:rPr>
          <w:rFonts w:asciiTheme="minorHAnsi" w:hAnsiTheme="minorHAnsi" w:cstheme="minorHAnsi"/>
          <w:sz w:val="20"/>
          <w:szCs w:val="20"/>
        </w:rPr>
      </w:pPr>
      <w:r w:rsidRPr="00FF57D0">
        <w:rPr>
          <w:rFonts w:asciiTheme="minorHAnsi" w:hAnsiTheme="minorHAnsi" w:cstheme="minorHAnsi"/>
          <w:sz w:val="20"/>
          <w:szCs w:val="20"/>
        </w:rPr>
        <w:t>Externally provided programmes</w:t>
      </w:r>
    </w:p>
    <w:p w14:paraId="78496EE0" w14:textId="033B7A37" w:rsidR="00CD3394" w:rsidRPr="00FF57D0" w:rsidRDefault="00CD3394" w:rsidP="00CD3394">
      <w:pPr>
        <w:rPr>
          <w:rFonts w:asciiTheme="minorHAnsi" w:hAnsiTheme="minorHAnsi" w:cstheme="minorHAnsi"/>
          <w:i/>
          <w:iCs/>
          <w:sz w:val="20"/>
          <w:szCs w:val="20"/>
        </w:rPr>
      </w:pPr>
      <w:r w:rsidRPr="00FF57D0">
        <w:rPr>
          <w:rFonts w:asciiTheme="minorHAnsi" w:hAnsiTheme="minorHAnsi" w:cstheme="minorHAnsi"/>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CD3394" w:rsidRPr="00FF57D0" w14:paraId="2B653CEB" w14:textId="77777777" w:rsidTr="003968AC">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2F6F87" w14:textId="77777777" w:rsidR="00CD3394" w:rsidRPr="00FF57D0" w:rsidRDefault="00CD3394" w:rsidP="003968AC">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AD6541B" w14:textId="77777777" w:rsidR="00CD3394" w:rsidRPr="00FF57D0" w:rsidRDefault="00CD3394" w:rsidP="003968AC">
            <w:pPr>
              <w:pStyle w:val="TableHeader"/>
              <w:jc w:val="left"/>
              <w:rPr>
                <w:rFonts w:asciiTheme="minorHAnsi" w:hAnsiTheme="minorHAnsi" w:cstheme="minorHAnsi"/>
                <w:sz w:val="20"/>
                <w:szCs w:val="20"/>
              </w:rPr>
            </w:pPr>
            <w:r w:rsidRPr="00FF57D0">
              <w:rPr>
                <w:rFonts w:asciiTheme="minorHAnsi" w:hAnsiTheme="minorHAnsi" w:cstheme="minorHAnsi"/>
                <w:sz w:val="20"/>
                <w:szCs w:val="20"/>
              </w:rPr>
              <w:t>Provider</w:t>
            </w:r>
          </w:p>
        </w:tc>
      </w:tr>
      <w:tr w:rsidR="00CD3394" w:rsidRPr="00FF57D0" w14:paraId="148CF2CB" w14:textId="77777777" w:rsidTr="003968A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2C71" w14:textId="77777777" w:rsidR="00B00553" w:rsidRPr="00FF57D0" w:rsidRDefault="00CD3394" w:rsidP="003968AC">
            <w:pPr>
              <w:pStyle w:val="TableRow"/>
              <w:rPr>
                <w:rFonts w:asciiTheme="minorHAnsi" w:hAnsiTheme="minorHAnsi" w:cstheme="minorHAnsi"/>
                <w:sz w:val="20"/>
                <w:szCs w:val="20"/>
              </w:rPr>
            </w:pPr>
            <w:r w:rsidRPr="00FF57D0">
              <w:rPr>
                <w:rFonts w:asciiTheme="minorHAnsi" w:hAnsiTheme="minorHAnsi" w:cstheme="minorHAnsi"/>
                <w:sz w:val="20"/>
                <w:szCs w:val="20"/>
              </w:rPr>
              <w:t xml:space="preserve">Externally provided programmes </w:t>
            </w:r>
          </w:p>
          <w:p w14:paraId="08C899A6" w14:textId="1824A2A4" w:rsidR="00CD3394" w:rsidRPr="00FF57D0" w:rsidRDefault="00CD3394" w:rsidP="003968AC">
            <w:pPr>
              <w:pStyle w:val="TableRow"/>
              <w:rPr>
                <w:rFonts w:asciiTheme="minorHAnsi" w:hAnsiTheme="minorHAnsi" w:cstheme="minorHAnsi"/>
                <w:sz w:val="20"/>
                <w:szCs w:val="20"/>
              </w:rPr>
            </w:pPr>
            <w:r w:rsidRPr="00FF57D0">
              <w:rPr>
                <w:rFonts w:asciiTheme="minorHAnsi" w:hAnsiTheme="minorHAnsi" w:cstheme="minorHAnsi"/>
                <w:sz w:val="20"/>
                <w:szCs w:val="20"/>
              </w:rPr>
              <w:t xml:space="preserve">Programme Provider Young Lives is a specialist consultancy working in partnership with schools and parents to provide flexible and bespoke support to young people on a wide range of health matters: - </w:t>
            </w:r>
          </w:p>
          <w:p w14:paraId="65DEC42F" w14:textId="7F7363CD" w:rsidR="00CD3394" w:rsidRPr="00FF57D0" w:rsidRDefault="00CD3394" w:rsidP="003968AC">
            <w:pPr>
              <w:pStyle w:val="TableRow"/>
              <w:rPr>
                <w:rFonts w:asciiTheme="minorHAnsi" w:hAnsiTheme="minorHAnsi" w:cstheme="minorHAnsi"/>
                <w:sz w:val="20"/>
                <w:szCs w:val="20"/>
              </w:rPr>
            </w:pP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Family issues </w:t>
            </w: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Coping with anger, sadness, rejection, isolation, loss or anxiety and associated behavioural issues </w:t>
            </w: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Peer pressure and/or friendship issues </w:t>
            </w: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Healthy relationships </w:t>
            </w: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Personal identity </w:t>
            </w: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Improving confidence, self-esteem and emotional wellbeing </w:t>
            </w:r>
            <w:r w:rsidRPr="00FF57D0">
              <w:rPr>
                <w:rFonts w:asciiTheme="minorHAnsi" w:hAnsiTheme="minorHAnsi" w:cstheme="minorHAnsi"/>
                <w:sz w:val="20"/>
                <w:szCs w:val="20"/>
              </w:rPr>
              <w:sym w:font="Symbol" w:char="F0B7"/>
            </w:r>
            <w:r w:rsidRPr="00FF57D0">
              <w:rPr>
                <w:rFonts w:asciiTheme="minorHAnsi" w:hAnsiTheme="minorHAnsi" w:cstheme="minorHAnsi"/>
                <w:sz w:val="20"/>
                <w:szCs w:val="20"/>
              </w:rPr>
              <w:t xml:space="preserve"> Improving communication with professional involved in their care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00C8" w14:textId="4E3ABF69" w:rsidR="00CD3394" w:rsidRPr="00FF57D0" w:rsidRDefault="00CD3394" w:rsidP="003968AC">
            <w:pPr>
              <w:pStyle w:val="TableRowCentered"/>
              <w:jc w:val="left"/>
              <w:rPr>
                <w:rFonts w:asciiTheme="minorHAnsi" w:hAnsiTheme="minorHAnsi" w:cstheme="minorHAnsi"/>
                <w:sz w:val="20"/>
              </w:rPr>
            </w:pPr>
            <w:r w:rsidRPr="00FF57D0">
              <w:rPr>
                <w:rFonts w:asciiTheme="minorHAnsi" w:hAnsiTheme="minorHAnsi" w:cstheme="minorHAnsi"/>
                <w:sz w:val="20"/>
              </w:rPr>
              <w:t xml:space="preserve">Young Lives </w:t>
            </w:r>
            <w:hyperlink r:id="rId8" w:history="1">
              <w:r w:rsidR="00491F49" w:rsidRPr="00FF57D0">
                <w:rPr>
                  <w:rStyle w:val="Hyperlink"/>
                  <w:rFonts w:asciiTheme="minorHAnsi" w:hAnsiTheme="minorHAnsi" w:cstheme="minorHAnsi"/>
                  <w:sz w:val="20"/>
                </w:rPr>
                <w:t>https://younglives.com</w:t>
              </w:r>
            </w:hyperlink>
          </w:p>
          <w:p w14:paraId="2E191D7C" w14:textId="7EEC8A63" w:rsidR="00491F49" w:rsidRPr="00FF57D0" w:rsidRDefault="00491F49" w:rsidP="003968AC">
            <w:pPr>
              <w:pStyle w:val="TableRowCentered"/>
              <w:jc w:val="left"/>
              <w:rPr>
                <w:rFonts w:asciiTheme="minorHAnsi" w:hAnsiTheme="minorHAnsi" w:cstheme="minorHAnsi"/>
                <w:sz w:val="20"/>
              </w:rPr>
            </w:pPr>
          </w:p>
        </w:tc>
      </w:tr>
    </w:tbl>
    <w:p w14:paraId="2A7D5564" w14:textId="77777777" w:rsidR="00E66558" w:rsidRPr="00C30562" w:rsidRDefault="00E66558">
      <w:pPr>
        <w:rPr>
          <w:rFonts w:asciiTheme="minorHAnsi" w:hAnsiTheme="minorHAnsi" w:cstheme="minorHAnsi"/>
        </w:rPr>
      </w:pPr>
    </w:p>
    <w:sectPr w:rsidR="00E66558" w:rsidRPr="00C30562">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6B942" w14:textId="77777777" w:rsidR="001D5EA7" w:rsidRDefault="001D5EA7">
      <w:pPr>
        <w:spacing w:after="0" w:line="240" w:lineRule="auto"/>
      </w:pPr>
      <w:r>
        <w:separator/>
      </w:r>
    </w:p>
  </w:endnote>
  <w:endnote w:type="continuationSeparator" w:id="0">
    <w:p w14:paraId="0461C82B" w14:textId="77777777" w:rsidR="001D5EA7" w:rsidRDefault="001D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1C9EACF2" w:rsidR="006D0760" w:rsidRDefault="009D71E8">
    <w:pPr>
      <w:pStyle w:val="Footer"/>
      <w:ind w:firstLine="4513"/>
    </w:pPr>
    <w:r>
      <w:fldChar w:fldCharType="begin"/>
    </w:r>
    <w:r>
      <w:instrText xml:space="preserve"> PAGE </w:instrText>
    </w:r>
    <w:r>
      <w:fldChar w:fldCharType="separate"/>
    </w:r>
    <w:r w:rsidR="004131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A0F67" w14:textId="77777777" w:rsidR="001D5EA7" w:rsidRDefault="001D5EA7">
      <w:pPr>
        <w:spacing w:after="0" w:line="240" w:lineRule="auto"/>
      </w:pPr>
      <w:r>
        <w:separator/>
      </w:r>
    </w:p>
  </w:footnote>
  <w:footnote w:type="continuationSeparator" w:id="0">
    <w:p w14:paraId="20C12E4F" w14:textId="77777777" w:rsidR="001D5EA7" w:rsidRDefault="001D5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6D0760" w:rsidRDefault="006D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2B05F7"/>
    <w:multiLevelType w:val="hybridMultilevel"/>
    <w:tmpl w:val="42AC3DD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21E360B"/>
    <w:multiLevelType w:val="multilevel"/>
    <w:tmpl w:val="03D693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57040659"/>
    <w:multiLevelType w:val="hybridMultilevel"/>
    <w:tmpl w:val="B20C0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5E1027"/>
    <w:multiLevelType w:val="hybridMultilevel"/>
    <w:tmpl w:val="24A8B56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F6C51B7"/>
    <w:multiLevelType w:val="hybridMultilevel"/>
    <w:tmpl w:val="48180D3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2451D7F"/>
    <w:multiLevelType w:val="hybridMultilevel"/>
    <w:tmpl w:val="9A80D04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5"/>
  </w:num>
  <w:num w:numId="4">
    <w:abstractNumId w:val="6"/>
  </w:num>
  <w:num w:numId="5">
    <w:abstractNumId w:val="0"/>
  </w:num>
  <w:num w:numId="6">
    <w:abstractNumId w:val="7"/>
  </w:num>
  <w:num w:numId="7">
    <w:abstractNumId w:val="12"/>
  </w:num>
  <w:num w:numId="8">
    <w:abstractNumId w:val="18"/>
  </w:num>
  <w:num w:numId="9">
    <w:abstractNumId w:val="15"/>
  </w:num>
  <w:num w:numId="10">
    <w:abstractNumId w:val="13"/>
  </w:num>
  <w:num w:numId="11">
    <w:abstractNumId w:val="2"/>
  </w:num>
  <w:num w:numId="12">
    <w:abstractNumId w:val="16"/>
  </w:num>
  <w:num w:numId="13">
    <w:abstractNumId w:val="10"/>
  </w:num>
  <w:num w:numId="14">
    <w:abstractNumId w:val="14"/>
  </w:num>
  <w:num w:numId="15">
    <w:abstractNumId w:val="9"/>
  </w:num>
  <w:num w:numId="16">
    <w:abstractNumId w:val="17"/>
  </w:num>
  <w:num w:numId="17">
    <w:abstractNumId w:val="4"/>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3C59"/>
    <w:rsid w:val="00066B73"/>
    <w:rsid w:val="00080461"/>
    <w:rsid w:val="00120AB1"/>
    <w:rsid w:val="001754F6"/>
    <w:rsid w:val="001B398E"/>
    <w:rsid w:val="001D5EA7"/>
    <w:rsid w:val="001E33A1"/>
    <w:rsid w:val="00230E74"/>
    <w:rsid w:val="00233656"/>
    <w:rsid w:val="00242FF1"/>
    <w:rsid w:val="002F59A3"/>
    <w:rsid w:val="0037437C"/>
    <w:rsid w:val="003D5F85"/>
    <w:rsid w:val="003E2CEF"/>
    <w:rsid w:val="003F0EC0"/>
    <w:rsid w:val="004044AA"/>
    <w:rsid w:val="004131A8"/>
    <w:rsid w:val="00422986"/>
    <w:rsid w:val="00475FDC"/>
    <w:rsid w:val="00491F49"/>
    <w:rsid w:val="00554328"/>
    <w:rsid w:val="005B1240"/>
    <w:rsid w:val="00627BB4"/>
    <w:rsid w:val="00630B28"/>
    <w:rsid w:val="00634238"/>
    <w:rsid w:val="00635FBC"/>
    <w:rsid w:val="006D0760"/>
    <w:rsid w:val="006D73EE"/>
    <w:rsid w:val="006E3D5C"/>
    <w:rsid w:val="006E6B4A"/>
    <w:rsid w:val="006E7FB1"/>
    <w:rsid w:val="00741B9E"/>
    <w:rsid w:val="007845C3"/>
    <w:rsid w:val="007C2F04"/>
    <w:rsid w:val="007E71FC"/>
    <w:rsid w:val="00832C2C"/>
    <w:rsid w:val="008C32AA"/>
    <w:rsid w:val="00943FA8"/>
    <w:rsid w:val="00945EB3"/>
    <w:rsid w:val="00967A5F"/>
    <w:rsid w:val="00984FFE"/>
    <w:rsid w:val="009864A8"/>
    <w:rsid w:val="009C6D24"/>
    <w:rsid w:val="009D71E8"/>
    <w:rsid w:val="009E2746"/>
    <w:rsid w:val="00A052DD"/>
    <w:rsid w:val="00A82BEC"/>
    <w:rsid w:val="00AF2528"/>
    <w:rsid w:val="00AF4E75"/>
    <w:rsid w:val="00B00553"/>
    <w:rsid w:val="00B26552"/>
    <w:rsid w:val="00B8540E"/>
    <w:rsid w:val="00BD78FB"/>
    <w:rsid w:val="00BE18A8"/>
    <w:rsid w:val="00BE663B"/>
    <w:rsid w:val="00C30562"/>
    <w:rsid w:val="00C43D00"/>
    <w:rsid w:val="00CC39E9"/>
    <w:rsid w:val="00CD3394"/>
    <w:rsid w:val="00D06874"/>
    <w:rsid w:val="00D33FE5"/>
    <w:rsid w:val="00DD71C2"/>
    <w:rsid w:val="00E212AE"/>
    <w:rsid w:val="00E60E1A"/>
    <w:rsid w:val="00E66558"/>
    <w:rsid w:val="00F4625F"/>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E60E1A"/>
    <w:rPr>
      <w:color w:val="808080"/>
    </w:rPr>
  </w:style>
  <w:style w:type="table" w:styleId="TableGrid">
    <w:name w:val="Table Grid"/>
    <w:basedOn w:val="TableNormal"/>
    <w:uiPriority w:val="39"/>
    <w:rsid w:val="007E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9471">
      <w:bodyDiv w:val="1"/>
      <w:marLeft w:val="0"/>
      <w:marRight w:val="0"/>
      <w:marTop w:val="0"/>
      <w:marBottom w:val="0"/>
      <w:divBdr>
        <w:top w:val="none" w:sz="0" w:space="0" w:color="auto"/>
        <w:left w:val="none" w:sz="0" w:space="0" w:color="auto"/>
        <w:bottom w:val="none" w:sz="0" w:space="0" w:color="auto"/>
        <w:right w:val="none" w:sz="0" w:space="0" w:color="auto"/>
      </w:divBdr>
    </w:div>
    <w:div w:id="14547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ngliv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Gary Birkett</cp:lastModifiedBy>
  <cp:revision>2</cp:revision>
  <cp:lastPrinted>2022-12-03T16:27:00Z</cp:lastPrinted>
  <dcterms:created xsi:type="dcterms:W3CDTF">2024-01-19T11:47:00Z</dcterms:created>
  <dcterms:modified xsi:type="dcterms:W3CDTF">2024-01-19T11:47:00Z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